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2128C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outlineLvl w:val="9"/>
        <w:rPr>
          <w:rFonts w:hint="eastAsia" w:ascii="方正小标宋简体" w:hAnsi="方正小标宋简体" w:eastAsia="方正小标宋简体" w:cs="方正小标宋简体"/>
          <w:b w:val="0"/>
          <w:bCs w:val="0"/>
          <w:sz w:val="44"/>
          <w:szCs w:val="44"/>
          <w:lang w:val="en-US" w:eastAsia="zh-CN"/>
        </w:rPr>
      </w:pPr>
      <w:bookmarkStart w:id="0" w:name="_GoBack"/>
      <w:bookmarkEnd w:id="0"/>
      <w:r>
        <w:rPr>
          <w:rFonts w:hint="eastAsia" w:ascii="方正小标宋_GBK" w:hAnsi="方正小标宋_GBK" w:eastAsia="方正小标宋_GBK" w:cs="方正小标宋_GBK"/>
          <w:sz w:val="44"/>
          <w:szCs w:val="44"/>
          <w:lang w:eastAsia="zh-CN"/>
        </w:rPr>
        <w:t>池州市软件产业园建设方案（征求意见稿）</w:t>
      </w:r>
    </w:p>
    <w:p w14:paraId="76BCA51E">
      <w:pPr>
        <w:pStyle w:val="4"/>
        <w:keepNext w:val="0"/>
        <w:keepLines w:val="0"/>
        <w:pageBreakBefore w:val="0"/>
        <w:widowControl w:val="0"/>
        <w:kinsoku/>
        <w:wordWrap/>
        <w:overflowPunct/>
        <w:topLinePunct w:val="0"/>
        <w:autoSpaceDE/>
        <w:autoSpaceDN/>
        <w:bidi w:val="0"/>
        <w:adjustRightInd/>
        <w:snapToGrid/>
        <w:spacing w:after="0" w:line="240" w:lineRule="auto"/>
        <w:ind w:firstLine="0" w:firstLineChars="0"/>
        <w:textAlignment w:val="auto"/>
        <w:outlineLvl w:val="9"/>
        <w:rPr>
          <w:rFonts w:hint="eastAsia" w:ascii="仿宋_GB2312" w:hAnsi="仿宋_GB2312" w:eastAsia="仿宋_GB2312" w:cs="仿宋_GB2312"/>
          <w:b w:val="0"/>
          <w:bCs w:val="0"/>
          <w:kern w:val="2"/>
          <w:sz w:val="32"/>
          <w:szCs w:val="32"/>
          <w:lang w:val="en-US" w:eastAsia="zh-CN" w:bidi="ar-SA"/>
        </w:rPr>
      </w:pPr>
    </w:p>
    <w:p w14:paraId="094436E2">
      <w:pPr>
        <w:pStyle w:val="4"/>
        <w:keepNext w:val="0"/>
        <w:keepLines w:val="0"/>
        <w:pageBreakBefore w:val="0"/>
        <w:widowControl w:val="0"/>
        <w:kinsoku/>
        <w:wordWrap/>
        <w:overflowPunct/>
        <w:topLinePunct w:val="0"/>
        <w:autoSpaceDE/>
        <w:autoSpaceDN/>
        <w:bidi w:val="0"/>
        <w:adjustRightInd/>
        <w:snapToGrid/>
        <w:spacing w:after="0" w:line="240" w:lineRule="auto"/>
        <w:ind w:firstLine="614" w:firstLineChars="200"/>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软件产业是国民经济发展的基础性、战略性、先导性产业，是数字产业化的重要组成部分、是产业数字化的核心驱动力。建设软件产业园，对于推动软件和信息技术服务业跨越式发展、加快“数字经济”建设具有十分重要的作用和意义。为促进我市软件产业园特色化、专业化、品牌化、高端化发展，努力建设省内一流软件园区，特制定本建设方案。</w:t>
      </w:r>
    </w:p>
    <w:p w14:paraId="1C23DF0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14" w:firstLineChars="200"/>
        <w:jc w:val="left"/>
        <w:textAlignment w:val="auto"/>
        <w:outlineLvl w:val="9"/>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一、总体要求</w:t>
      </w:r>
    </w:p>
    <w:p w14:paraId="466C2E78">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14" w:firstLineChars="200"/>
        <w:jc w:val="left"/>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坚持以习近平新时代中国特色社会主义思想为指导，深入贯彻落实省委主要负责同志关于软件产业“一市一园”重要批示精神，在我市现有软件产业基础上，进一步加大市场主体培育、创新要素集聚等支持力度，推进软件产业与一、二、三产业深度融合发展，为池州融入长三角中心区现代化城市增添新动能。</w:t>
      </w:r>
    </w:p>
    <w:p w14:paraId="1C8584B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14" w:firstLineChars="200"/>
        <w:jc w:val="left"/>
        <w:textAlignment w:val="auto"/>
        <w:outlineLvl w:val="9"/>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二、发展目标</w:t>
      </w:r>
    </w:p>
    <w:p w14:paraId="0F9DB89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14" w:firstLineChars="200"/>
        <w:jc w:val="left"/>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聚焦人工智能、工业互联网、空间信息、电商平台等细分领域，以市经济技术开发区半导体产业集聚发展基地为基础，充分发挥已入驻的科大讯飞、文香教育、南京老虎云平台等龙头企业引领带动作用，搭建全市软件产业发展主园区，辐射带动江南新兴产业集中区和池州高新区协同发展。力争到2025年，实现产值突破15亿元，高新技术企业数量突破50家；实现优势互补、错位发展的软件产业发展新格局，引导软件企业向园区集聚，促进产业集聚度、科技创新能力、服务保障能力进一步增强。</w:t>
      </w:r>
    </w:p>
    <w:p w14:paraId="30A34A71">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14" w:firstLineChars="200"/>
        <w:jc w:val="left"/>
        <w:textAlignment w:val="auto"/>
        <w:outlineLvl w:val="9"/>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三、总体思路</w:t>
      </w:r>
    </w:p>
    <w:p w14:paraId="1B2C0A8E">
      <w:pPr>
        <w:pStyle w:val="4"/>
        <w:keepNext w:val="0"/>
        <w:keepLines w:val="0"/>
        <w:pageBreakBefore w:val="0"/>
        <w:widowControl w:val="0"/>
        <w:kinsoku/>
        <w:wordWrap/>
        <w:overflowPunct/>
        <w:topLinePunct w:val="0"/>
        <w:autoSpaceDE/>
        <w:autoSpaceDN/>
        <w:bidi w:val="0"/>
        <w:adjustRightInd/>
        <w:snapToGrid/>
        <w:spacing w:after="0" w:line="240" w:lineRule="auto"/>
        <w:ind w:firstLine="614" w:firstLineChars="200"/>
        <w:textAlignment w:val="auto"/>
        <w:outlineLvl w:val="9"/>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池州市软件产业园采取“1+2+2”（1主园区+2分园区+2飞地）方式组建，占地面积约150亩、建筑总面积约12万平方米。</w:t>
      </w:r>
    </w:p>
    <w:p w14:paraId="1879FA0A">
      <w:pPr>
        <w:pStyle w:val="4"/>
        <w:keepNext w:val="0"/>
        <w:keepLines w:val="0"/>
        <w:pageBreakBefore w:val="0"/>
        <w:widowControl w:val="0"/>
        <w:kinsoku/>
        <w:wordWrap/>
        <w:overflowPunct/>
        <w:topLinePunct w:val="0"/>
        <w:autoSpaceDE/>
        <w:autoSpaceDN/>
        <w:bidi w:val="0"/>
        <w:adjustRightInd/>
        <w:snapToGrid/>
        <w:spacing w:after="0" w:line="240" w:lineRule="auto"/>
        <w:ind w:firstLine="614" w:firstLineChars="200"/>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主园区，围绕集成电路IC设计、数字经济、信息服务和工业互联网等产业招引方向，推进软件产业与制造业融合发展。</w:t>
      </w:r>
      <w:r>
        <w:rPr>
          <w:rFonts w:hint="eastAsia" w:ascii="仿宋_GB2312" w:hAnsi="仿宋_GB2312" w:eastAsia="仿宋_GB2312" w:cs="仿宋_GB2312"/>
          <w:b w:val="0"/>
          <w:bCs w:val="0"/>
          <w:kern w:val="2"/>
          <w:sz w:val="32"/>
          <w:szCs w:val="32"/>
          <w:lang w:val="en-US" w:eastAsia="zh-CN" w:bidi="ar-SA"/>
        </w:rPr>
        <w:t>位于池州市经济技术开发区电子信息产业园综合楼，建筑面积约31448平方米，分两期建设，一期1万平方米位于经开区电子信息产业园综合服务中心，二期规划建设2万平方米，位于经开区前城御澜湾三期。同时，建设池州芯创（北京）集成电路设计园飞地，位于北京中关村软件园，约1448平方米；建设“G60科创走廊池州（上海）”科创中心飞地，位于上海松江区中电信息港，约1.8万平米。</w:t>
      </w:r>
    </w:p>
    <w:p w14:paraId="4B07466C">
      <w:pPr>
        <w:pStyle w:val="4"/>
        <w:keepNext w:val="0"/>
        <w:keepLines w:val="0"/>
        <w:pageBreakBefore w:val="0"/>
        <w:widowControl w:val="0"/>
        <w:kinsoku/>
        <w:wordWrap/>
        <w:overflowPunct/>
        <w:topLinePunct w:val="0"/>
        <w:autoSpaceDE/>
        <w:autoSpaceDN/>
        <w:bidi w:val="0"/>
        <w:adjustRightInd/>
        <w:snapToGrid/>
        <w:spacing w:after="0" w:line="240" w:lineRule="auto"/>
        <w:ind w:firstLine="614" w:firstLineChars="200"/>
        <w:textAlignment w:val="auto"/>
        <w:outlineLvl w:val="9"/>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bCs/>
          <w:kern w:val="2"/>
          <w:sz w:val="32"/>
          <w:szCs w:val="32"/>
          <w:lang w:val="en-US" w:eastAsia="zh-CN" w:bidi="ar-SA"/>
        </w:rPr>
        <w:t>分园区，一是位于江南产业集中区安徽文香信息技术有限公司智能教育装备产业园。</w:t>
      </w:r>
      <w:r>
        <w:rPr>
          <w:rFonts w:hint="eastAsia" w:ascii="仿宋_GB2312" w:hAnsi="仿宋_GB2312" w:eastAsia="仿宋_GB2312" w:cs="仿宋_GB2312"/>
          <w:b w:val="0"/>
          <w:bCs w:val="0"/>
          <w:kern w:val="2"/>
          <w:sz w:val="32"/>
          <w:szCs w:val="32"/>
          <w:lang w:val="en-US" w:eastAsia="zh-CN" w:bidi="ar-SA"/>
        </w:rPr>
        <w:t>围绕</w:t>
      </w:r>
      <w:r>
        <w:rPr>
          <w:rFonts w:hint="eastAsia" w:ascii="仿宋" w:hAnsi="仿宋" w:eastAsia="仿宋" w:cs="仿宋"/>
          <w:b w:val="0"/>
          <w:bCs w:val="0"/>
          <w:sz w:val="32"/>
          <w:szCs w:val="32"/>
          <w:lang w:val="en-US" w:eastAsia="zh-CN"/>
        </w:rPr>
        <w:t>嵌入式应用软件</w:t>
      </w:r>
      <w:r>
        <w:rPr>
          <w:rFonts w:hint="eastAsia" w:ascii="仿宋_GB2312" w:hAnsi="仿宋_GB2312" w:eastAsia="仿宋_GB2312" w:cs="仿宋_GB2312"/>
          <w:b w:val="0"/>
          <w:bCs w:val="0"/>
          <w:kern w:val="2"/>
          <w:sz w:val="32"/>
          <w:szCs w:val="32"/>
          <w:lang w:val="en-US" w:eastAsia="zh-CN" w:bidi="ar-SA"/>
        </w:rPr>
        <w:t>、教育装备等系列产品（含录播设备、智慧黑板、虚拟演播设备等）的研发、制造与销售，计划引进多家产业链上下游高新技术企业，新建1个人工智能研究院，打造智能教育全生态产业园。目前，安徽文香智能装备产业园一、二期已建成，占地90亩，建筑面积约6万平方米；三期在建，建筑面积约2.4万平方米。</w:t>
      </w:r>
      <w:r>
        <w:rPr>
          <w:rFonts w:hint="eastAsia" w:ascii="仿宋_GB2312" w:hAnsi="仿宋_GB2312" w:eastAsia="仿宋_GB2312" w:cs="仿宋_GB2312"/>
          <w:b/>
          <w:bCs/>
          <w:kern w:val="2"/>
          <w:sz w:val="32"/>
          <w:szCs w:val="32"/>
          <w:lang w:val="en-US" w:eastAsia="zh-CN" w:bidi="ar-SA"/>
        </w:rPr>
        <w:t>二是位于池州高新区数字经济产业园。</w:t>
      </w:r>
      <w:r>
        <w:rPr>
          <w:rFonts w:hint="eastAsia" w:ascii="仿宋_GB2312" w:hAnsi="仿宋_GB2312" w:eastAsia="仿宋_GB2312" w:cs="仿宋_GB2312"/>
          <w:b w:val="0"/>
          <w:bCs w:val="0"/>
          <w:kern w:val="2"/>
          <w:sz w:val="32"/>
          <w:szCs w:val="32"/>
          <w:lang w:val="en-US" w:eastAsia="zh-CN" w:bidi="ar-SA"/>
        </w:rPr>
        <w:t>以睿成微电子和创新软件科技等公司为龙头企业，围绕智能物联控制系统集成、信息技术咨询服务和人工智能应用软件开发与销售。</w:t>
      </w:r>
    </w:p>
    <w:p w14:paraId="6D0A80CD">
      <w:pPr>
        <w:pStyle w:val="4"/>
        <w:keepNext w:val="0"/>
        <w:keepLines w:val="0"/>
        <w:pageBreakBefore w:val="0"/>
        <w:widowControl w:val="0"/>
        <w:kinsoku/>
        <w:wordWrap/>
        <w:overflowPunct/>
        <w:topLinePunct w:val="0"/>
        <w:autoSpaceDE/>
        <w:autoSpaceDN/>
        <w:bidi w:val="0"/>
        <w:adjustRightInd/>
        <w:snapToGrid/>
        <w:spacing w:after="0" w:line="240" w:lineRule="auto"/>
        <w:ind w:firstLine="614" w:firstLineChars="200"/>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软件产业园实施“统一优惠政策，分区独立运行，一体化协同发展”的运行思路。主园区先期建设检测、验证、适配、知识产权服务等公共平台，为全市软件产业发展提供公共服务；改建电子信息综合楼，按软件创作要求进行装修，确保入驻企业拎包即驻；人才公寓、生活设施结合现有电子信息产业园、安徽中韩（池州）国际合作半导体产业园基础设施共建共享。</w:t>
      </w:r>
    </w:p>
    <w:p w14:paraId="42B3CCED">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614" w:firstLineChars="200"/>
        <w:jc w:val="left"/>
        <w:textAlignment w:val="auto"/>
        <w:outlineLvl w:val="9"/>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四、重点任务</w:t>
      </w:r>
    </w:p>
    <w:p w14:paraId="03DED5B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14" w:firstLineChars="200"/>
        <w:jc w:val="left"/>
        <w:textAlignment w:val="auto"/>
        <w:outlineLvl w:val="9"/>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（一）培育市场主体</w:t>
      </w:r>
    </w:p>
    <w:p w14:paraId="4A7D7E79">
      <w:pPr>
        <w:pStyle w:val="4"/>
        <w:keepNext w:val="0"/>
        <w:keepLines w:val="0"/>
        <w:pageBreakBefore w:val="0"/>
        <w:widowControl w:val="0"/>
        <w:kinsoku/>
        <w:wordWrap/>
        <w:overflowPunct/>
        <w:topLinePunct w:val="0"/>
        <w:autoSpaceDE/>
        <w:autoSpaceDN/>
        <w:bidi w:val="0"/>
        <w:adjustRightInd/>
        <w:snapToGrid/>
        <w:spacing w:after="0" w:line="240" w:lineRule="auto"/>
        <w:ind w:firstLine="614" w:firstLineChars="200"/>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1.摸清现有底数。对我市软件产业发展情况进行全面摸底调查，建立软件企业“名册”“台账”，掌握全市软件产业链、龙头企业、带动项目等现状，确定若干相对集中板块，进行重点攻坚和发展。</w:t>
      </w:r>
      <w:r>
        <w:rPr>
          <w:rFonts w:hint="default" w:ascii="仿宋_GB2312" w:hAnsi="仿宋_GB2312" w:eastAsia="仿宋_GB2312" w:cs="仿宋_GB2312"/>
          <w:b w:val="0"/>
          <w:bCs w:val="0"/>
          <w:kern w:val="2"/>
          <w:sz w:val="32"/>
          <w:szCs w:val="32"/>
          <w:lang w:val="en-US" w:eastAsia="zh-CN" w:bidi="ar-SA"/>
        </w:rPr>
        <w:t>（牵头单位：市经信局</w:t>
      </w:r>
      <w:r>
        <w:rPr>
          <w:rFonts w:hint="eastAsia" w:ascii="仿宋_GB2312" w:hAnsi="仿宋_GB2312" w:eastAsia="仿宋_GB2312" w:cs="仿宋_GB2312"/>
          <w:b w:val="0"/>
          <w:bCs w:val="0"/>
          <w:kern w:val="2"/>
          <w:sz w:val="32"/>
          <w:szCs w:val="32"/>
          <w:lang w:val="en-US" w:eastAsia="zh-CN" w:bidi="ar-SA"/>
        </w:rPr>
        <w:t>。责任</w:t>
      </w:r>
      <w:r>
        <w:rPr>
          <w:rFonts w:hint="default" w:ascii="仿宋_GB2312" w:hAnsi="仿宋_GB2312" w:eastAsia="仿宋_GB2312" w:cs="仿宋_GB2312"/>
          <w:b w:val="0"/>
          <w:bCs w:val="0"/>
          <w:kern w:val="2"/>
          <w:sz w:val="32"/>
          <w:szCs w:val="32"/>
          <w:lang w:val="en-US" w:eastAsia="zh-CN" w:bidi="ar-SA"/>
        </w:rPr>
        <w:t>单位：</w:t>
      </w:r>
      <w:r>
        <w:rPr>
          <w:rFonts w:hint="eastAsia" w:ascii="仿宋_GB2312" w:hAnsi="仿宋_GB2312" w:eastAsia="仿宋_GB2312" w:cs="仿宋_GB2312"/>
          <w:b w:val="0"/>
          <w:bCs w:val="0"/>
          <w:kern w:val="2"/>
          <w:sz w:val="32"/>
          <w:szCs w:val="32"/>
          <w:lang w:val="en-US" w:eastAsia="zh-CN" w:bidi="ar-SA"/>
        </w:rPr>
        <w:t>市</w:t>
      </w:r>
      <w:r>
        <w:rPr>
          <w:rFonts w:hint="default" w:ascii="仿宋_GB2312" w:hAnsi="仿宋_GB2312" w:eastAsia="仿宋_GB2312" w:cs="仿宋_GB2312"/>
          <w:b w:val="0"/>
          <w:bCs w:val="0"/>
          <w:kern w:val="2"/>
          <w:sz w:val="32"/>
          <w:szCs w:val="32"/>
          <w:lang w:val="en-US" w:eastAsia="zh-CN" w:bidi="ar-SA"/>
        </w:rPr>
        <w:t>经开区</w:t>
      </w:r>
      <w:r>
        <w:rPr>
          <w:rFonts w:hint="eastAsia" w:ascii="仿宋_GB2312" w:hAnsi="仿宋_GB2312" w:eastAsia="仿宋_GB2312" w:cs="仿宋_GB2312"/>
          <w:b w:val="0"/>
          <w:bCs w:val="0"/>
          <w:kern w:val="2"/>
          <w:sz w:val="32"/>
          <w:szCs w:val="32"/>
          <w:lang w:val="en-US" w:eastAsia="zh-CN" w:bidi="ar-SA"/>
        </w:rPr>
        <w:t>、江南集中区、池州高新区</w:t>
      </w:r>
      <w:r>
        <w:rPr>
          <w:rFonts w:hint="default" w:ascii="仿宋_GB2312" w:hAnsi="仿宋_GB2312" w:eastAsia="仿宋_GB2312" w:cs="仿宋_GB2312"/>
          <w:b w:val="0"/>
          <w:bCs w:val="0"/>
          <w:kern w:val="2"/>
          <w:sz w:val="32"/>
          <w:szCs w:val="32"/>
          <w:lang w:val="en-US" w:eastAsia="zh-CN" w:bidi="ar-SA"/>
        </w:rPr>
        <w:t>管委会</w:t>
      </w:r>
      <w:r>
        <w:rPr>
          <w:rFonts w:hint="eastAsia" w:ascii="仿宋_GB2312" w:hAnsi="仿宋_GB2312" w:eastAsia="仿宋_GB2312" w:cs="仿宋_GB2312"/>
          <w:b w:val="0"/>
          <w:bCs w:val="0"/>
          <w:kern w:val="2"/>
          <w:sz w:val="32"/>
          <w:szCs w:val="32"/>
          <w:lang w:val="en-US" w:eastAsia="zh-CN" w:bidi="ar-SA"/>
        </w:rPr>
        <w:t>，</w:t>
      </w:r>
      <w:r>
        <w:rPr>
          <w:rFonts w:hint="default" w:ascii="仿宋_GB2312" w:hAnsi="仿宋_GB2312" w:eastAsia="仿宋_GB2312" w:cs="仿宋_GB2312"/>
          <w:b w:val="0"/>
          <w:bCs w:val="0"/>
          <w:kern w:val="2"/>
          <w:sz w:val="32"/>
          <w:szCs w:val="32"/>
          <w:lang w:val="en-US" w:eastAsia="zh-CN" w:bidi="ar-SA"/>
        </w:rPr>
        <w:t>市</w:t>
      </w:r>
      <w:r>
        <w:rPr>
          <w:rFonts w:hint="eastAsia" w:ascii="仿宋_GB2312" w:hAnsi="仿宋_GB2312" w:eastAsia="仿宋_GB2312" w:cs="仿宋_GB2312"/>
          <w:b w:val="0"/>
          <w:bCs w:val="0"/>
          <w:kern w:val="2"/>
          <w:sz w:val="32"/>
          <w:szCs w:val="32"/>
          <w:lang w:val="en-US" w:eastAsia="zh-CN" w:bidi="ar-SA"/>
        </w:rPr>
        <w:t>市场监管</w:t>
      </w:r>
      <w:r>
        <w:rPr>
          <w:rFonts w:hint="default" w:ascii="仿宋_GB2312" w:hAnsi="仿宋_GB2312" w:eastAsia="仿宋_GB2312" w:cs="仿宋_GB2312"/>
          <w:b w:val="0"/>
          <w:bCs w:val="0"/>
          <w:kern w:val="2"/>
          <w:sz w:val="32"/>
          <w:szCs w:val="32"/>
          <w:lang w:val="en-US" w:eastAsia="zh-CN" w:bidi="ar-SA"/>
        </w:rPr>
        <w:t>局等）</w:t>
      </w:r>
    </w:p>
    <w:p w14:paraId="1CA52349">
      <w:pPr>
        <w:pStyle w:val="4"/>
        <w:keepNext w:val="0"/>
        <w:keepLines w:val="0"/>
        <w:pageBreakBefore w:val="0"/>
        <w:widowControl w:val="0"/>
        <w:kinsoku/>
        <w:wordWrap/>
        <w:overflowPunct/>
        <w:topLinePunct w:val="0"/>
        <w:autoSpaceDE/>
        <w:autoSpaceDN/>
        <w:bidi w:val="0"/>
        <w:adjustRightInd/>
        <w:snapToGrid/>
        <w:spacing w:after="0" w:line="240" w:lineRule="auto"/>
        <w:ind w:firstLine="614" w:firstLineChars="200"/>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2.整合存量资源。在摸底调查基础上，进一步加大现有资源整合力度，千方百计引导散落各地的现有软件企业向园区集中，形成集聚效应。引导鼓励芯达电子、硕呈电子、讯飞信息、智元互联、文香教育等龙头企业等单位牵头成立软件产业联盟，寻求合作共赢。</w:t>
      </w:r>
      <w:r>
        <w:rPr>
          <w:rFonts w:hint="default" w:ascii="仿宋_GB2312" w:hAnsi="仿宋_GB2312" w:eastAsia="仿宋_GB2312" w:cs="仿宋_GB2312"/>
          <w:b w:val="0"/>
          <w:bCs w:val="0"/>
          <w:kern w:val="2"/>
          <w:sz w:val="32"/>
          <w:szCs w:val="32"/>
          <w:lang w:val="en-US" w:eastAsia="zh-CN" w:bidi="ar-SA"/>
        </w:rPr>
        <w:t>（牵头单位：市经信局</w:t>
      </w:r>
      <w:r>
        <w:rPr>
          <w:rFonts w:hint="eastAsia" w:ascii="仿宋_GB2312" w:hAnsi="仿宋_GB2312" w:eastAsia="仿宋_GB2312" w:cs="仿宋_GB2312"/>
          <w:b w:val="0"/>
          <w:bCs w:val="0"/>
          <w:kern w:val="2"/>
          <w:sz w:val="32"/>
          <w:szCs w:val="32"/>
          <w:lang w:val="en-US" w:eastAsia="zh-CN" w:bidi="ar-SA"/>
        </w:rPr>
        <w:t>。责任</w:t>
      </w:r>
      <w:r>
        <w:rPr>
          <w:rFonts w:hint="default" w:ascii="仿宋_GB2312" w:hAnsi="仿宋_GB2312" w:eastAsia="仿宋_GB2312" w:cs="仿宋_GB2312"/>
          <w:b w:val="0"/>
          <w:bCs w:val="0"/>
          <w:kern w:val="2"/>
          <w:sz w:val="32"/>
          <w:szCs w:val="32"/>
          <w:lang w:val="en-US" w:eastAsia="zh-CN" w:bidi="ar-SA"/>
        </w:rPr>
        <w:t>单位：</w:t>
      </w:r>
      <w:r>
        <w:rPr>
          <w:rFonts w:hint="eastAsia" w:ascii="仿宋_GB2312" w:hAnsi="仿宋_GB2312" w:eastAsia="仿宋_GB2312" w:cs="仿宋_GB2312"/>
          <w:b w:val="0"/>
          <w:bCs w:val="0"/>
          <w:kern w:val="2"/>
          <w:sz w:val="32"/>
          <w:szCs w:val="32"/>
          <w:lang w:val="en-US" w:eastAsia="zh-CN" w:bidi="ar-SA"/>
        </w:rPr>
        <w:t>市</w:t>
      </w:r>
      <w:r>
        <w:rPr>
          <w:rFonts w:hint="default" w:ascii="仿宋_GB2312" w:hAnsi="仿宋_GB2312" w:eastAsia="仿宋_GB2312" w:cs="仿宋_GB2312"/>
          <w:b w:val="0"/>
          <w:bCs w:val="0"/>
          <w:kern w:val="2"/>
          <w:sz w:val="32"/>
          <w:szCs w:val="32"/>
          <w:lang w:val="en-US" w:eastAsia="zh-CN" w:bidi="ar-SA"/>
        </w:rPr>
        <w:t>经开区</w:t>
      </w:r>
      <w:r>
        <w:rPr>
          <w:rFonts w:hint="eastAsia" w:ascii="仿宋_GB2312" w:hAnsi="仿宋_GB2312" w:eastAsia="仿宋_GB2312" w:cs="仿宋_GB2312"/>
          <w:b w:val="0"/>
          <w:bCs w:val="0"/>
          <w:kern w:val="2"/>
          <w:sz w:val="32"/>
          <w:szCs w:val="32"/>
          <w:lang w:val="en-US" w:eastAsia="zh-CN" w:bidi="ar-SA"/>
        </w:rPr>
        <w:t>、江南集中区、池州高新区</w:t>
      </w:r>
      <w:r>
        <w:rPr>
          <w:rFonts w:hint="default" w:ascii="仿宋_GB2312" w:hAnsi="仿宋_GB2312" w:eastAsia="仿宋_GB2312" w:cs="仿宋_GB2312"/>
          <w:b w:val="0"/>
          <w:bCs w:val="0"/>
          <w:kern w:val="2"/>
          <w:sz w:val="32"/>
          <w:szCs w:val="32"/>
          <w:lang w:val="en-US" w:eastAsia="zh-CN" w:bidi="ar-SA"/>
        </w:rPr>
        <w:t>管委会</w:t>
      </w:r>
      <w:r>
        <w:rPr>
          <w:rFonts w:hint="eastAsia" w:ascii="仿宋_GB2312" w:hAnsi="仿宋_GB2312" w:eastAsia="仿宋_GB2312" w:cs="仿宋_GB2312"/>
          <w:b w:val="0"/>
          <w:bCs w:val="0"/>
          <w:kern w:val="2"/>
          <w:sz w:val="32"/>
          <w:szCs w:val="32"/>
          <w:lang w:val="en-US" w:eastAsia="zh-CN" w:bidi="ar-SA"/>
        </w:rPr>
        <w:t>，</w:t>
      </w:r>
      <w:r>
        <w:rPr>
          <w:rFonts w:hint="default" w:ascii="仿宋_GB2312" w:hAnsi="仿宋_GB2312" w:eastAsia="仿宋_GB2312" w:cs="仿宋_GB2312"/>
          <w:b w:val="0"/>
          <w:bCs w:val="0"/>
          <w:kern w:val="2"/>
          <w:sz w:val="32"/>
          <w:szCs w:val="32"/>
          <w:lang w:val="en-US" w:eastAsia="zh-CN" w:bidi="ar-SA"/>
        </w:rPr>
        <w:t>市科技局等）</w:t>
      </w:r>
    </w:p>
    <w:p w14:paraId="18AB6A86">
      <w:pPr>
        <w:pStyle w:val="4"/>
        <w:keepNext w:val="0"/>
        <w:keepLines w:val="0"/>
        <w:pageBreakBefore w:val="0"/>
        <w:widowControl w:val="0"/>
        <w:kinsoku/>
        <w:wordWrap/>
        <w:overflowPunct/>
        <w:topLinePunct w:val="0"/>
        <w:autoSpaceDE/>
        <w:autoSpaceDN/>
        <w:bidi w:val="0"/>
        <w:adjustRightInd/>
        <w:snapToGrid/>
        <w:spacing w:after="0" w:line="240" w:lineRule="auto"/>
        <w:ind w:firstLine="614" w:firstLineChars="200"/>
        <w:textAlignment w:val="auto"/>
        <w:outlineLvl w:val="9"/>
        <w:rPr>
          <w:rFonts w:hint="default"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3.创设发展载体。一是搭建池州（北京）芯创空间平台。利用池州芯创（北京）中关村集成电路设计园，举办专题招商推介和企业孵化器功能。二是建设“G60科创走廊池州（上海）”科创中心。积极对接长三角国家技术创新中心，推进软件研发项目落户上海科创飞地，按照“科创飞地+产业基金+制造基地”三位一体合作模式，充分发挥双方在产业、资源、政策、人才、金融等方面的优势，构建全面战略合作关系。</w:t>
      </w:r>
      <w:r>
        <w:rPr>
          <w:rFonts w:hint="default" w:ascii="仿宋_GB2312" w:hAnsi="仿宋_GB2312" w:eastAsia="仿宋_GB2312" w:cs="仿宋_GB2312"/>
          <w:b w:val="0"/>
          <w:bCs w:val="0"/>
          <w:kern w:val="2"/>
          <w:sz w:val="32"/>
          <w:szCs w:val="32"/>
          <w:lang w:val="en-US" w:eastAsia="zh-CN" w:bidi="ar-SA"/>
        </w:rPr>
        <w:t>（牵头单位：</w:t>
      </w:r>
      <w:r>
        <w:rPr>
          <w:rFonts w:hint="eastAsia" w:ascii="仿宋_GB2312" w:hAnsi="仿宋_GB2312" w:eastAsia="仿宋_GB2312" w:cs="仿宋_GB2312"/>
          <w:b w:val="0"/>
          <w:bCs w:val="0"/>
          <w:kern w:val="2"/>
          <w:sz w:val="32"/>
          <w:szCs w:val="32"/>
          <w:lang w:val="en-US" w:eastAsia="zh-CN" w:bidi="ar-SA"/>
        </w:rPr>
        <w:t>市</w:t>
      </w:r>
      <w:r>
        <w:rPr>
          <w:rFonts w:hint="default" w:ascii="仿宋_GB2312" w:hAnsi="仿宋_GB2312" w:eastAsia="仿宋_GB2312" w:cs="仿宋_GB2312"/>
          <w:b w:val="0"/>
          <w:bCs w:val="0"/>
          <w:kern w:val="2"/>
          <w:sz w:val="32"/>
          <w:szCs w:val="32"/>
          <w:lang w:val="en-US" w:eastAsia="zh-CN" w:bidi="ar-SA"/>
        </w:rPr>
        <w:t>经开区管委会）</w:t>
      </w:r>
    </w:p>
    <w:p w14:paraId="027BF0B3">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14" w:firstLineChars="200"/>
        <w:jc w:val="left"/>
        <w:textAlignment w:val="auto"/>
        <w:outlineLvl w:val="9"/>
        <w:rPr>
          <w:rFonts w:hint="eastAsia" w:ascii="楷体" w:hAnsi="楷体" w:eastAsia="楷体" w:cs="楷体"/>
          <w:b/>
          <w:bCs/>
          <w:sz w:val="32"/>
          <w:szCs w:val="32"/>
          <w:lang w:val="en-US" w:eastAsia="zh-CN"/>
        </w:rPr>
      </w:pPr>
      <w:r>
        <w:rPr>
          <w:rFonts w:hint="default" w:ascii="楷体" w:hAnsi="楷体" w:eastAsia="楷体" w:cs="楷体"/>
          <w:b/>
          <w:bCs/>
          <w:sz w:val="32"/>
          <w:szCs w:val="32"/>
          <w:lang w:val="en-US" w:eastAsia="zh-CN"/>
        </w:rPr>
        <w:t>（二）聚集创新要素</w:t>
      </w:r>
    </w:p>
    <w:p w14:paraId="6318DE7C">
      <w:pPr>
        <w:pStyle w:val="4"/>
        <w:keepNext w:val="0"/>
        <w:keepLines w:val="0"/>
        <w:pageBreakBefore w:val="0"/>
        <w:widowControl w:val="0"/>
        <w:kinsoku/>
        <w:wordWrap/>
        <w:overflowPunct/>
        <w:topLinePunct w:val="0"/>
        <w:autoSpaceDE/>
        <w:autoSpaceDN/>
        <w:bidi w:val="0"/>
        <w:adjustRightInd/>
        <w:snapToGrid/>
        <w:spacing w:after="0" w:line="240" w:lineRule="auto"/>
        <w:ind w:firstLine="614" w:firstLineChars="200"/>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4.设立孵化中心。按照“政府引导、市场化运作、专业化管理”的原则，由安徽平天湖投资控股集团有限公司下属公司池州九华领航科创投资有限公司出资购买北京中关村集成电路设计园创作工作室作为孵化中心，由北京芯创空间科技服务有限责任公司打造专业孵化器运营平台。通过落实园区“一平台、三节点”的创新服务体系，以空间运营、孵化服务、科技金融等全方位软性服务为支撑，面向中小微创企业，促进集成电路设计与相关产业跨界融合、创新发展，培育一批高成长性“小巨人”企业、在专业细分领域具有领先性的企业。</w:t>
      </w:r>
      <w:r>
        <w:rPr>
          <w:rFonts w:hint="default" w:ascii="仿宋_GB2312" w:hAnsi="仿宋_GB2312" w:eastAsia="仿宋_GB2312" w:cs="仿宋_GB2312"/>
          <w:b w:val="0"/>
          <w:bCs w:val="0"/>
          <w:kern w:val="2"/>
          <w:sz w:val="32"/>
          <w:szCs w:val="32"/>
          <w:lang w:val="en-US" w:eastAsia="zh-CN" w:bidi="ar-SA"/>
        </w:rPr>
        <w:t>（牵头单位：</w:t>
      </w:r>
      <w:r>
        <w:rPr>
          <w:rFonts w:hint="eastAsia" w:ascii="仿宋_GB2312" w:hAnsi="仿宋_GB2312" w:eastAsia="仿宋_GB2312" w:cs="仿宋_GB2312"/>
          <w:b w:val="0"/>
          <w:bCs w:val="0"/>
          <w:kern w:val="2"/>
          <w:sz w:val="32"/>
          <w:szCs w:val="32"/>
          <w:lang w:val="en-US" w:eastAsia="zh-CN" w:bidi="ar-SA"/>
        </w:rPr>
        <w:t>市经开区管委会。责任</w:t>
      </w:r>
      <w:r>
        <w:rPr>
          <w:rFonts w:hint="default" w:ascii="仿宋_GB2312" w:hAnsi="仿宋_GB2312" w:eastAsia="仿宋_GB2312" w:cs="仿宋_GB2312"/>
          <w:b w:val="0"/>
          <w:bCs w:val="0"/>
          <w:kern w:val="2"/>
          <w:sz w:val="32"/>
          <w:szCs w:val="32"/>
          <w:lang w:val="en-US" w:eastAsia="zh-CN" w:bidi="ar-SA"/>
        </w:rPr>
        <w:t>单位：</w:t>
      </w:r>
      <w:r>
        <w:rPr>
          <w:rFonts w:hint="eastAsia" w:ascii="仿宋_GB2312" w:hAnsi="仿宋_GB2312" w:eastAsia="仿宋_GB2312" w:cs="仿宋_GB2312"/>
          <w:b w:val="0"/>
          <w:bCs w:val="0"/>
          <w:kern w:val="2"/>
          <w:sz w:val="32"/>
          <w:szCs w:val="32"/>
          <w:lang w:val="en-US" w:eastAsia="zh-CN" w:bidi="ar-SA"/>
        </w:rPr>
        <w:t>平天湖投资控股集团有限公司等</w:t>
      </w:r>
      <w:r>
        <w:rPr>
          <w:rFonts w:hint="default" w:ascii="仿宋_GB2312" w:hAnsi="仿宋_GB2312" w:eastAsia="仿宋_GB2312" w:cs="仿宋_GB2312"/>
          <w:b w:val="0"/>
          <w:bCs w:val="0"/>
          <w:kern w:val="2"/>
          <w:sz w:val="32"/>
          <w:szCs w:val="32"/>
          <w:lang w:val="en-US" w:eastAsia="zh-CN" w:bidi="ar-SA"/>
        </w:rPr>
        <w:t>）</w:t>
      </w:r>
    </w:p>
    <w:p w14:paraId="7CEDA6BF">
      <w:pPr>
        <w:pStyle w:val="4"/>
        <w:keepNext w:val="0"/>
        <w:keepLines w:val="0"/>
        <w:pageBreakBefore w:val="0"/>
        <w:widowControl w:val="0"/>
        <w:kinsoku/>
        <w:wordWrap/>
        <w:overflowPunct/>
        <w:topLinePunct w:val="0"/>
        <w:autoSpaceDE/>
        <w:autoSpaceDN/>
        <w:bidi w:val="0"/>
        <w:adjustRightInd/>
        <w:snapToGrid/>
        <w:spacing w:after="0" w:line="240" w:lineRule="auto"/>
        <w:ind w:firstLine="614" w:firstLineChars="200"/>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5.创新科技信贷。遴选有经验的银行金融机构，整合“科创贷、园区贷、亩均效益贷、知识产权抵押贷”等业务，创新风险代偿和利息补贴等机制，建立软件产业企业白名单，满足各类软件类企业的融资需求。</w:t>
      </w:r>
      <w:r>
        <w:rPr>
          <w:rFonts w:hint="default" w:ascii="仿宋_GB2312" w:hAnsi="仿宋_GB2312" w:eastAsia="仿宋_GB2312" w:cs="仿宋_GB2312"/>
          <w:b w:val="0"/>
          <w:bCs w:val="0"/>
          <w:kern w:val="2"/>
          <w:sz w:val="32"/>
          <w:szCs w:val="32"/>
          <w:lang w:val="en-US" w:eastAsia="zh-CN" w:bidi="ar-SA"/>
        </w:rPr>
        <w:t>（牵头单位：市金融监管局</w:t>
      </w:r>
      <w:r>
        <w:rPr>
          <w:rFonts w:hint="eastAsia" w:ascii="仿宋_GB2312" w:hAnsi="仿宋_GB2312" w:eastAsia="仿宋_GB2312" w:cs="仿宋_GB2312"/>
          <w:b w:val="0"/>
          <w:bCs w:val="0"/>
          <w:kern w:val="2"/>
          <w:sz w:val="32"/>
          <w:szCs w:val="32"/>
          <w:lang w:val="en-US" w:eastAsia="zh-CN" w:bidi="ar-SA"/>
        </w:rPr>
        <w:t>。责任</w:t>
      </w:r>
      <w:r>
        <w:rPr>
          <w:rFonts w:hint="default" w:ascii="仿宋_GB2312" w:hAnsi="仿宋_GB2312" w:eastAsia="仿宋_GB2312" w:cs="仿宋_GB2312"/>
          <w:b w:val="0"/>
          <w:bCs w:val="0"/>
          <w:kern w:val="2"/>
          <w:sz w:val="32"/>
          <w:szCs w:val="32"/>
          <w:lang w:val="en-US" w:eastAsia="zh-CN" w:bidi="ar-SA"/>
        </w:rPr>
        <w:t>单位：</w:t>
      </w:r>
      <w:r>
        <w:rPr>
          <w:rFonts w:hint="eastAsia" w:ascii="仿宋_GB2312" w:hAnsi="仿宋_GB2312" w:eastAsia="仿宋_GB2312" w:cs="仿宋_GB2312"/>
          <w:b w:val="0"/>
          <w:bCs w:val="0"/>
          <w:kern w:val="2"/>
          <w:sz w:val="32"/>
          <w:szCs w:val="32"/>
          <w:lang w:val="en-US" w:eastAsia="zh-CN" w:bidi="ar-SA"/>
        </w:rPr>
        <w:t>市</w:t>
      </w:r>
      <w:r>
        <w:rPr>
          <w:rFonts w:hint="default" w:ascii="仿宋_GB2312" w:hAnsi="仿宋_GB2312" w:eastAsia="仿宋_GB2312" w:cs="仿宋_GB2312"/>
          <w:b w:val="0"/>
          <w:bCs w:val="0"/>
          <w:kern w:val="2"/>
          <w:sz w:val="32"/>
          <w:szCs w:val="32"/>
          <w:lang w:val="en-US" w:eastAsia="zh-CN" w:bidi="ar-SA"/>
        </w:rPr>
        <w:t>经开区管委会</w:t>
      </w:r>
      <w:r>
        <w:rPr>
          <w:rFonts w:hint="eastAsia" w:ascii="仿宋_GB2312" w:hAnsi="仿宋_GB2312" w:eastAsia="仿宋_GB2312" w:cs="仿宋_GB2312"/>
          <w:b w:val="0"/>
          <w:bCs w:val="0"/>
          <w:kern w:val="2"/>
          <w:sz w:val="32"/>
          <w:szCs w:val="32"/>
          <w:lang w:val="en-US" w:eastAsia="zh-CN" w:bidi="ar-SA"/>
        </w:rPr>
        <w:t>、池州市</w:t>
      </w:r>
      <w:r>
        <w:rPr>
          <w:rFonts w:hint="default" w:ascii="仿宋_GB2312" w:hAnsi="仿宋_GB2312" w:eastAsia="仿宋_GB2312" w:cs="仿宋_GB2312"/>
          <w:b w:val="0"/>
          <w:bCs w:val="0"/>
          <w:kern w:val="2"/>
          <w:sz w:val="32"/>
          <w:szCs w:val="32"/>
          <w:lang w:val="en-US" w:eastAsia="zh-CN" w:bidi="ar-SA"/>
        </w:rPr>
        <w:t>银保监分局、</w:t>
      </w:r>
      <w:r>
        <w:rPr>
          <w:rFonts w:hint="eastAsia" w:ascii="仿宋_GB2312" w:hAnsi="仿宋_GB2312" w:eastAsia="仿宋_GB2312" w:cs="仿宋_GB2312"/>
          <w:b w:val="0"/>
          <w:bCs w:val="0"/>
          <w:kern w:val="2"/>
          <w:sz w:val="32"/>
          <w:szCs w:val="32"/>
          <w:lang w:val="en-US" w:eastAsia="zh-CN" w:bidi="ar-SA"/>
        </w:rPr>
        <w:t>人民银行池州市支行</w:t>
      </w:r>
      <w:r>
        <w:rPr>
          <w:rFonts w:hint="default" w:ascii="仿宋_GB2312" w:hAnsi="仿宋_GB2312" w:eastAsia="仿宋_GB2312" w:cs="仿宋_GB2312"/>
          <w:b w:val="0"/>
          <w:bCs w:val="0"/>
          <w:kern w:val="2"/>
          <w:sz w:val="32"/>
          <w:szCs w:val="32"/>
          <w:lang w:val="en-US" w:eastAsia="zh-CN" w:bidi="ar-SA"/>
        </w:rPr>
        <w:t>等）</w:t>
      </w:r>
    </w:p>
    <w:p w14:paraId="5BDF937B">
      <w:pPr>
        <w:pStyle w:val="4"/>
        <w:keepNext w:val="0"/>
        <w:keepLines w:val="0"/>
        <w:pageBreakBefore w:val="0"/>
        <w:widowControl w:val="0"/>
        <w:kinsoku/>
        <w:wordWrap/>
        <w:overflowPunct/>
        <w:topLinePunct w:val="0"/>
        <w:autoSpaceDE/>
        <w:autoSpaceDN/>
        <w:bidi w:val="0"/>
        <w:adjustRightInd/>
        <w:snapToGrid/>
        <w:spacing w:after="0" w:line="240" w:lineRule="auto"/>
        <w:ind w:firstLine="614" w:firstLineChars="200"/>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6.提供应用场景。在智慧城市建设中的医疗卫生、交通物流、社会保障、市场监管、环境监测、应急保障、治安防控、公共安全等城市公共服务和社会治理领域的集成应用场景中，计划安排总规模不少于5亿元的项目，将本市重点软件产品、服务及解决方案纳入政府采购清单。加快推进公共数据的开放利用，实现与社会数据、企业数据的共享流通，构建涵盖多类型数据的开放性大数据资源库，形成创新应用多场景验证环境。</w:t>
      </w:r>
      <w:r>
        <w:rPr>
          <w:rFonts w:hint="default" w:ascii="仿宋_GB2312" w:hAnsi="仿宋_GB2312" w:eastAsia="仿宋_GB2312" w:cs="仿宋_GB2312"/>
          <w:b w:val="0"/>
          <w:bCs w:val="0"/>
          <w:kern w:val="2"/>
          <w:sz w:val="32"/>
          <w:szCs w:val="32"/>
          <w:lang w:val="en-US" w:eastAsia="zh-CN" w:bidi="ar-SA"/>
        </w:rPr>
        <w:t>（牵头单位：市数据资源局</w:t>
      </w:r>
      <w:r>
        <w:rPr>
          <w:rFonts w:hint="eastAsia" w:ascii="仿宋_GB2312" w:hAnsi="仿宋_GB2312" w:eastAsia="仿宋_GB2312" w:cs="仿宋_GB2312"/>
          <w:b w:val="0"/>
          <w:bCs w:val="0"/>
          <w:kern w:val="2"/>
          <w:sz w:val="32"/>
          <w:szCs w:val="32"/>
          <w:lang w:val="en-US" w:eastAsia="zh-CN" w:bidi="ar-SA"/>
        </w:rPr>
        <w:t>。责任</w:t>
      </w:r>
      <w:r>
        <w:rPr>
          <w:rFonts w:hint="default" w:ascii="仿宋_GB2312" w:hAnsi="仿宋_GB2312" w:eastAsia="仿宋_GB2312" w:cs="仿宋_GB2312"/>
          <w:b w:val="0"/>
          <w:bCs w:val="0"/>
          <w:kern w:val="2"/>
          <w:sz w:val="32"/>
          <w:szCs w:val="32"/>
          <w:lang w:val="en-US" w:eastAsia="zh-CN" w:bidi="ar-SA"/>
        </w:rPr>
        <w:t>单位：</w:t>
      </w:r>
      <w:r>
        <w:rPr>
          <w:rFonts w:hint="eastAsia" w:ascii="仿宋_GB2312" w:hAnsi="仿宋_GB2312" w:eastAsia="仿宋_GB2312" w:cs="仿宋_GB2312"/>
          <w:b w:val="0"/>
          <w:bCs w:val="0"/>
          <w:kern w:val="2"/>
          <w:sz w:val="32"/>
          <w:szCs w:val="32"/>
          <w:lang w:val="en-US" w:eastAsia="zh-CN" w:bidi="ar-SA"/>
        </w:rPr>
        <w:t>市</w:t>
      </w:r>
      <w:r>
        <w:rPr>
          <w:rFonts w:hint="default" w:ascii="仿宋_GB2312" w:hAnsi="仿宋_GB2312" w:eastAsia="仿宋_GB2312" w:cs="仿宋_GB2312"/>
          <w:b w:val="0"/>
          <w:bCs w:val="0"/>
          <w:kern w:val="2"/>
          <w:sz w:val="32"/>
          <w:szCs w:val="32"/>
          <w:lang w:val="en-US" w:eastAsia="zh-CN" w:bidi="ar-SA"/>
        </w:rPr>
        <w:t>经开区管委会、市</w:t>
      </w:r>
      <w:r>
        <w:rPr>
          <w:rFonts w:hint="eastAsia" w:ascii="仿宋_GB2312" w:hAnsi="仿宋_GB2312" w:eastAsia="仿宋_GB2312" w:cs="仿宋_GB2312"/>
          <w:b w:val="0"/>
          <w:bCs w:val="0"/>
          <w:kern w:val="2"/>
          <w:sz w:val="32"/>
          <w:szCs w:val="32"/>
          <w:lang w:val="en-US" w:eastAsia="zh-CN" w:bidi="ar-SA"/>
        </w:rPr>
        <w:t>直相关单位</w:t>
      </w:r>
      <w:r>
        <w:rPr>
          <w:rFonts w:hint="default" w:ascii="仿宋_GB2312" w:hAnsi="仿宋_GB2312" w:eastAsia="仿宋_GB2312" w:cs="仿宋_GB2312"/>
          <w:b w:val="0"/>
          <w:bCs w:val="0"/>
          <w:kern w:val="2"/>
          <w:sz w:val="32"/>
          <w:szCs w:val="32"/>
          <w:lang w:val="en-US" w:eastAsia="zh-CN" w:bidi="ar-SA"/>
        </w:rPr>
        <w:t>等）</w:t>
      </w:r>
    </w:p>
    <w:p w14:paraId="72E09AAA">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14" w:firstLineChars="200"/>
        <w:jc w:val="left"/>
        <w:textAlignment w:val="auto"/>
        <w:outlineLvl w:val="9"/>
        <w:rPr>
          <w:rFonts w:hint="default" w:ascii="楷体" w:hAnsi="楷体" w:eastAsia="楷体" w:cs="楷体"/>
          <w:b/>
          <w:bCs/>
          <w:sz w:val="32"/>
          <w:szCs w:val="32"/>
          <w:lang w:val="en-US" w:eastAsia="zh-CN"/>
        </w:rPr>
      </w:pPr>
      <w:r>
        <w:rPr>
          <w:rFonts w:hint="default" w:ascii="楷体" w:hAnsi="楷体" w:eastAsia="楷体" w:cs="楷体"/>
          <w:b/>
          <w:bCs/>
          <w:sz w:val="32"/>
          <w:szCs w:val="32"/>
          <w:lang w:val="en-US" w:eastAsia="zh-CN"/>
        </w:rPr>
        <w:t>（三）构建生态系统</w:t>
      </w:r>
    </w:p>
    <w:p w14:paraId="2B1D14AC">
      <w:pPr>
        <w:pStyle w:val="4"/>
        <w:keepNext w:val="0"/>
        <w:keepLines w:val="0"/>
        <w:pageBreakBefore w:val="0"/>
        <w:widowControl w:val="0"/>
        <w:kinsoku/>
        <w:wordWrap/>
        <w:overflowPunct/>
        <w:topLinePunct w:val="0"/>
        <w:autoSpaceDE/>
        <w:autoSpaceDN/>
        <w:bidi w:val="0"/>
        <w:adjustRightInd/>
        <w:snapToGrid/>
        <w:spacing w:after="0" w:line="240" w:lineRule="auto"/>
        <w:ind w:firstLine="614" w:firstLineChars="200"/>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 7.引进服务机构。加强公共服务载体建设，支持金融、律师和会计师事务所等服务机构进驻园区，组织举办软件业务培训、政策宣讲等系列活动，在项目孵化、技术提升、政策咨询、市场拓展等方面提供全方位服务。</w:t>
      </w:r>
      <w:r>
        <w:rPr>
          <w:rFonts w:hint="default" w:ascii="仿宋_GB2312" w:hAnsi="仿宋_GB2312" w:eastAsia="仿宋_GB2312" w:cs="仿宋_GB2312"/>
          <w:b w:val="0"/>
          <w:bCs w:val="0"/>
          <w:kern w:val="2"/>
          <w:sz w:val="32"/>
          <w:szCs w:val="32"/>
          <w:lang w:val="en-US" w:eastAsia="zh-CN" w:bidi="ar-SA"/>
        </w:rPr>
        <w:t>（牵头单位：</w:t>
      </w:r>
      <w:r>
        <w:rPr>
          <w:rFonts w:hint="eastAsia" w:ascii="仿宋_GB2312" w:hAnsi="仿宋_GB2312" w:eastAsia="仿宋_GB2312" w:cs="仿宋_GB2312"/>
          <w:b w:val="0"/>
          <w:bCs w:val="0"/>
          <w:kern w:val="2"/>
          <w:sz w:val="32"/>
          <w:szCs w:val="32"/>
          <w:lang w:val="en-US" w:eastAsia="zh-CN" w:bidi="ar-SA"/>
        </w:rPr>
        <w:t>市经开区管委会。责任</w:t>
      </w:r>
      <w:r>
        <w:rPr>
          <w:rFonts w:hint="default" w:ascii="仿宋_GB2312" w:hAnsi="仿宋_GB2312" w:eastAsia="仿宋_GB2312" w:cs="仿宋_GB2312"/>
          <w:b w:val="0"/>
          <w:bCs w:val="0"/>
          <w:kern w:val="2"/>
          <w:sz w:val="32"/>
          <w:szCs w:val="32"/>
          <w:lang w:val="en-US" w:eastAsia="zh-CN" w:bidi="ar-SA"/>
        </w:rPr>
        <w:t>单位：</w:t>
      </w:r>
      <w:r>
        <w:rPr>
          <w:rFonts w:hint="eastAsia" w:ascii="仿宋_GB2312" w:hAnsi="仿宋_GB2312" w:eastAsia="仿宋_GB2312" w:cs="仿宋_GB2312"/>
          <w:b w:val="0"/>
          <w:bCs w:val="0"/>
          <w:kern w:val="2"/>
          <w:sz w:val="32"/>
          <w:szCs w:val="32"/>
          <w:lang w:val="en-US" w:eastAsia="zh-CN" w:bidi="ar-SA"/>
        </w:rPr>
        <w:t>市经信局、市人社局</w:t>
      </w:r>
      <w:r>
        <w:rPr>
          <w:rFonts w:hint="default" w:ascii="仿宋_GB2312" w:hAnsi="仿宋_GB2312" w:eastAsia="仿宋_GB2312" w:cs="仿宋_GB2312"/>
          <w:b w:val="0"/>
          <w:bCs w:val="0"/>
          <w:kern w:val="2"/>
          <w:sz w:val="32"/>
          <w:szCs w:val="32"/>
          <w:lang w:val="en-US" w:eastAsia="zh-CN" w:bidi="ar-SA"/>
        </w:rPr>
        <w:t>等）</w:t>
      </w:r>
    </w:p>
    <w:p w14:paraId="75711E93">
      <w:pPr>
        <w:pStyle w:val="4"/>
        <w:keepNext w:val="0"/>
        <w:keepLines w:val="0"/>
        <w:pageBreakBefore w:val="0"/>
        <w:widowControl w:val="0"/>
        <w:kinsoku/>
        <w:wordWrap/>
        <w:overflowPunct/>
        <w:topLinePunct w:val="0"/>
        <w:autoSpaceDE/>
        <w:autoSpaceDN/>
        <w:bidi w:val="0"/>
        <w:adjustRightInd/>
        <w:snapToGrid/>
        <w:spacing w:after="0" w:line="240" w:lineRule="auto"/>
        <w:ind w:firstLine="614" w:firstLineChars="200"/>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8.强化校企合作。加大与合工大、池州学院、科大讯飞的合作，</w:t>
      </w:r>
      <w:r>
        <w:rPr>
          <w:rFonts w:hint="eastAsia" w:ascii="仿宋_GB2312" w:eastAsia="仿宋_GB2312"/>
          <w:sz w:val="32"/>
          <w:szCs w:val="32"/>
          <w:u w:val="none"/>
        </w:rPr>
        <w:t>围绕“搭建产学研平台、培养应用型人才”目标，高标准推动半导体</w:t>
      </w:r>
      <w:r>
        <w:rPr>
          <w:rFonts w:hint="eastAsia" w:ascii="仿宋_GB2312" w:eastAsia="仿宋_GB2312"/>
          <w:sz w:val="32"/>
          <w:szCs w:val="32"/>
          <w:u w:val="none"/>
          <w:lang w:eastAsia="zh-CN"/>
        </w:rPr>
        <w:t>产业</w:t>
      </w:r>
      <w:r>
        <w:rPr>
          <w:rFonts w:hint="eastAsia" w:ascii="仿宋_GB2312" w:eastAsia="仿宋_GB2312"/>
          <w:sz w:val="32"/>
          <w:szCs w:val="32"/>
          <w:u w:val="none"/>
        </w:rPr>
        <w:t>学院开工建设，打造实验、实训、实习和教学基地，</w:t>
      </w:r>
      <w:r>
        <w:rPr>
          <w:rFonts w:hint="eastAsia" w:ascii="仿宋_GB2312" w:hAnsi="仿宋_GB2312" w:eastAsia="仿宋_GB2312" w:cs="仿宋_GB2312"/>
          <w:b w:val="0"/>
          <w:bCs w:val="0"/>
          <w:kern w:val="2"/>
          <w:sz w:val="32"/>
          <w:szCs w:val="32"/>
          <w:lang w:val="en-US" w:eastAsia="zh-CN" w:bidi="ar-SA"/>
        </w:rPr>
        <w:t>为企业提供数字化设计、共性技术研发、软件产品检验检测等专业化服务和软件人才及技术支撑。</w:t>
      </w:r>
      <w:r>
        <w:rPr>
          <w:rFonts w:hint="default" w:ascii="仿宋_GB2312" w:hAnsi="仿宋_GB2312" w:eastAsia="仿宋_GB2312" w:cs="仿宋_GB2312"/>
          <w:b w:val="0"/>
          <w:bCs w:val="0"/>
          <w:kern w:val="2"/>
          <w:sz w:val="32"/>
          <w:szCs w:val="32"/>
          <w:lang w:val="en-US" w:eastAsia="zh-CN" w:bidi="ar-SA"/>
        </w:rPr>
        <w:t>(牵头单位：</w:t>
      </w:r>
      <w:r>
        <w:rPr>
          <w:rFonts w:hint="eastAsia" w:ascii="仿宋_GB2312" w:hAnsi="仿宋_GB2312" w:eastAsia="仿宋_GB2312" w:cs="仿宋_GB2312"/>
          <w:b w:val="0"/>
          <w:bCs w:val="0"/>
          <w:kern w:val="2"/>
          <w:sz w:val="32"/>
          <w:szCs w:val="32"/>
          <w:lang w:val="en-US" w:eastAsia="zh-CN" w:bidi="ar-SA"/>
        </w:rPr>
        <w:t>市</w:t>
      </w:r>
      <w:r>
        <w:rPr>
          <w:rFonts w:hint="default" w:ascii="仿宋_GB2312" w:hAnsi="仿宋_GB2312" w:eastAsia="仿宋_GB2312" w:cs="仿宋_GB2312"/>
          <w:b w:val="0"/>
          <w:bCs w:val="0"/>
          <w:kern w:val="2"/>
          <w:sz w:val="32"/>
          <w:szCs w:val="32"/>
          <w:lang w:val="en-US" w:eastAsia="zh-CN" w:bidi="ar-SA"/>
        </w:rPr>
        <w:t>经开区</w:t>
      </w:r>
      <w:r>
        <w:rPr>
          <w:rFonts w:hint="eastAsia" w:ascii="仿宋_GB2312" w:hAnsi="仿宋_GB2312" w:eastAsia="仿宋_GB2312" w:cs="仿宋_GB2312"/>
          <w:b w:val="0"/>
          <w:bCs w:val="0"/>
          <w:kern w:val="2"/>
          <w:sz w:val="32"/>
          <w:szCs w:val="32"/>
          <w:lang w:val="en-US" w:eastAsia="zh-CN" w:bidi="ar-SA"/>
        </w:rPr>
        <w:t>管委会。责任</w:t>
      </w:r>
      <w:r>
        <w:rPr>
          <w:rFonts w:hint="default" w:ascii="仿宋_GB2312" w:hAnsi="仿宋_GB2312" w:eastAsia="仿宋_GB2312" w:cs="仿宋_GB2312"/>
          <w:b w:val="0"/>
          <w:bCs w:val="0"/>
          <w:kern w:val="2"/>
          <w:sz w:val="32"/>
          <w:szCs w:val="32"/>
          <w:lang w:val="en-US" w:eastAsia="zh-CN" w:bidi="ar-SA"/>
        </w:rPr>
        <w:t>单位：市科技局、</w:t>
      </w:r>
      <w:r>
        <w:rPr>
          <w:rFonts w:hint="eastAsia" w:ascii="仿宋_GB2312" w:hAnsi="仿宋_GB2312" w:eastAsia="仿宋_GB2312" w:cs="仿宋_GB2312"/>
          <w:b w:val="0"/>
          <w:bCs w:val="0"/>
          <w:kern w:val="2"/>
          <w:sz w:val="32"/>
          <w:szCs w:val="32"/>
          <w:lang w:val="en-US" w:eastAsia="zh-CN" w:bidi="ar-SA"/>
        </w:rPr>
        <w:t>池州学院</w:t>
      </w:r>
      <w:r>
        <w:rPr>
          <w:rFonts w:hint="default" w:ascii="仿宋_GB2312" w:hAnsi="仿宋_GB2312" w:eastAsia="仿宋_GB2312" w:cs="仿宋_GB2312"/>
          <w:b w:val="0"/>
          <w:bCs w:val="0"/>
          <w:kern w:val="2"/>
          <w:sz w:val="32"/>
          <w:szCs w:val="32"/>
          <w:lang w:val="en-US" w:eastAsia="zh-CN" w:bidi="ar-SA"/>
        </w:rPr>
        <w:t>等）</w:t>
      </w:r>
    </w:p>
    <w:p w14:paraId="31341E15">
      <w:pPr>
        <w:pStyle w:val="4"/>
        <w:keepNext w:val="0"/>
        <w:keepLines w:val="0"/>
        <w:pageBreakBefore w:val="0"/>
        <w:widowControl w:val="0"/>
        <w:kinsoku/>
        <w:wordWrap/>
        <w:overflowPunct/>
        <w:topLinePunct w:val="0"/>
        <w:autoSpaceDE/>
        <w:autoSpaceDN/>
        <w:bidi w:val="0"/>
        <w:adjustRightInd/>
        <w:snapToGrid/>
        <w:spacing w:after="0" w:line="240" w:lineRule="auto"/>
        <w:ind w:firstLine="614" w:firstLineChars="200"/>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9.赋能主导产业。建立科技特派员制度，全面摸底我市电子信息、半导体和高端装备等八大主导产业需求，采取揭榜挂帅等方式，鼓励我市软件产业企业为现有主导产业进行科技赋能，实现融合发展。</w:t>
      </w:r>
      <w:r>
        <w:rPr>
          <w:rFonts w:hint="default" w:ascii="仿宋_GB2312" w:hAnsi="仿宋_GB2312" w:eastAsia="仿宋_GB2312" w:cs="仿宋_GB2312"/>
          <w:b w:val="0"/>
          <w:bCs w:val="0"/>
          <w:kern w:val="2"/>
          <w:sz w:val="32"/>
          <w:szCs w:val="32"/>
          <w:lang w:val="en-US" w:eastAsia="zh-CN" w:bidi="ar-SA"/>
        </w:rPr>
        <w:t>（牵头单位：市经信局。协同单位：</w:t>
      </w:r>
      <w:r>
        <w:rPr>
          <w:rFonts w:hint="eastAsia" w:ascii="仿宋_GB2312" w:hAnsi="仿宋_GB2312" w:eastAsia="仿宋_GB2312" w:cs="仿宋_GB2312"/>
          <w:b w:val="0"/>
          <w:bCs w:val="0"/>
          <w:kern w:val="2"/>
          <w:sz w:val="32"/>
          <w:szCs w:val="32"/>
          <w:lang w:val="en-US" w:eastAsia="zh-CN" w:bidi="ar-SA"/>
        </w:rPr>
        <w:t>市</w:t>
      </w:r>
      <w:r>
        <w:rPr>
          <w:rFonts w:hint="default" w:ascii="仿宋_GB2312" w:hAnsi="仿宋_GB2312" w:eastAsia="仿宋_GB2312" w:cs="仿宋_GB2312"/>
          <w:b w:val="0"/>
          <w:bCs w:val="0"/>
          <w:kern w:val="2"/>
          <w:sz w:val="32"/>
          <w:szCs w:val="32"/>
          <w:lang w:val="en-US" w:eastAsia="zh-CN" w:bidi="ar-SA"/>
        </w:rPr>
        <w:t>经开区</w:t>
      </w:r>
      <w:r>
        <w:rPr>
          <w:rFonts w:hint="eastAsia" w:ascii="仿宋_GB2312" w:hAnsi="仿宋_GB2312" w:eastAsia="仿宋_GB2312" w:cs="仿宋_GB2312"/>
          <w:b w:val="0"/>
          <w:bCs w:val="0"/>
          <w:kern w:val="2"/>
          <w:sz w:val="32"/>
          <w:szCs w:val="32"/>
          <w:lang w:val="en-US" w:eastAsia="zh-CN" w:bidi="ar-SA"/>
        </w:rPr>
        <w:t>、江南集中区、池州高新区</w:t>
      </w:r>
      <w:r>
        <w:rPr>
          <w:rFonts w:hint="default" w:ascii="仿宋_GB2312" w:hAnsi="仿宋_GB2312" w:eastAsia="仿宋_GB2312" w:cs="仿宋_GB2312"/>
          <w:b w:val="0"/>
          <w:bCs w:val="0"/>
          <w:kern w:val="2"/>
          <w:sz w:val="32"/>
          <w:szCs w:val="32"/>
          <w:lang w:val="en-US" w:eastAsia="zh-CN" w:bidi="ar-SA"/>
        </w:rPr>
        <w:t>管委会）</w:t>
      </w:r>
    </w:p>
    <w:p w14:paraId="4F0B5261">
      <w:pPr>
        <w:pStyle w:val="4"/>
        <w:keepNext w:val="0"/>
        <w:keepLines w:val="0"/>
        <w:pageBreakBefore w:val="0"/>
        <w:widowControl w:val="0"/>
        <w:kinsoku/>
        <w:wordWrap/>
        <w:overflowPunct/>
        <w:topLinePunct w:val="0"/>
        <w:autoSpaceDE/>
        <w:autoSpaceDN/>
        <w:bidi w:val="0"/>
        <w:adjustRightInd/>
        <w:snapToGrid/>
        <w:spacing w:after="0" w:line="240" w:lineRule="auto"/>
        <w:ind w:firstLine="614" w:firstLineChars="200"/>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 10.建设公共配套。大力建设市经开区滨江产业新城、江南产业集中区人才公寓及周边商业综合体等公共配套设施建设，满足园区企业员工生活休闲需求。</w:t>
      </w:r>
      <w:r>
        <w:rPr>
          <w:rFonts w:hint="default" w:ascii="仿宋_GB2312" w:hAnsi="仿宋_GB2312" w:eastAsia="仿宋_GB2312" w:cs="仿宋_GB2312"/>
          <w:b w:val="0"/>
          <w:bCs w:val="0"/>
          <w:kern w:val="2"/>
          <w:sz w:val="32"/>
          <w:szCs w:val="32"/>
          <w:lang w:val="en-US" w:eastAsia="zh-CN" w:bidi="ar-SA"/>
        </w:rPr>
        <w:t>（牵头单位：</w:t>
      </w:r>
      <w:r>
        <w:rPr>
          <w:rFonts w:hint="eastAsia" w:ascii="仿宋_GB2312" w:hAnsi="仿宋_GB2312" w:eastAsia="仿宋_GB2312" w:cs="仿宋_GB2312"/>
          <w:b w:val="0"/>
          <w:bCs w:val="0"/>
          <w:kern w:val="2"/>
          <w:sz w:val="32"/>
          <w:szCs w:val="32"/>
          <w:lang w:val="en-US" w:eastAsia="zh-CN" w:bidi="ar-SA"/>
        </w:rPr>
        <w:t>市经开区、江南集中区管委会）</w:t>
      </w:r>
    </w:p>
    <w:p w14:paraId="47017AA7">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firstLine="614" w:firstLineChars="200"/>
        <w:jc w:val="left"/>
        <w:textAlignment w:val="auto"/>
        <w:outlineLvl w:val="9"/>
        <w:rPr>
          <w:rFonts w:hint="default" w:ascii="方正仿宋_GB2312" w:hAnsi="方正仿宋_GB2312" w:eastAsia="方正仿宋_GB2312" w:cs="方正仿宋_GB2312"/>
          <w:b/>
          <w:bCs/>
          <w:sz w:val="32"/>
          <w:szCs w:val="32"/>
          <w:lang w:val="en-US" w:eastAsia="zh-CN"/>
        </w:rPr>
      </w:pPr>
      <w:r>
        <w:rPr>
          <w:rFonts w:hint="eastAsia" w:ascii="黑体" w:hAnsi="黑体" w:eastAsia="黑体" w:cs="黑体"/>
          <w:sz w:val="32"/>
          <w:szCs w:val="32"/>
          <w:lang w:val="en-US" w:eastAsia="zh-CN"/>
        </w:rPr>
        <w:t>五、保障措施</w:t>
      </w:r>
    </w:p>
    <w:p w14:paraId="28091F16">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14" w:firstLineChars="200"/>
        <w:jc w:val="left"/>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楷体" w:hAnsi="楷体" w:eastAsia="楷体" w:cs="楷体"/>
          <w:b/>
          <w:bCs/>
          <w:sz w:val="32"/>
          <w:szCs w:val="32"/>
          <w:lang w:val="en-US" w:eastAsia="zh-CN"/>
        </w:rPr>
        <w:t>（一）加强组织领导。</w:t>
      </w:r>
      <w:r>
        <w:rPr>
          <w:rFonts w:hint="eastAsia" w:ascii="仿宋_GB2312" w:hAnsi="仿宋_GB2312" w:eastAsia="仿宋_GB2312" w:cs="仿宋_GB2312"/>
          <w:b w:val="0"/>
          <w:bCs w:val="0"/>
          <w:kern w:val="2"/>
          <w:sz w:val="32"/>
          <w:szCs w:val="32"/>
          <w:lang w:val="en-US" w:eastAsia="zh-CN" w:bidi="ar-SA"/>
        </w:rPr>
        <w:t>成立软件产业发展推进领导小组（见附件），科学谋划，顶格推进，研究制定池州市软件产业园有关支持政策，统筹协调解决软件产业发展建设过程中的重大疑难问题。</w:t>
      </w:r>
    </w:p>
    <w:p w14:paraId="123C4CD2">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14" w:firstLineChars="200"/>
        <w:jc w:val="left"/>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楷体" w:hAnsi="楷体" w:eastAsia="楷体" w:cs="楷体"/>
          <w:b/>
          <w:bCs/>
          <w:sz w:val="32"/>
          <w:szCs w:val="32"/>
          <w:lang w:val="en-US" w:eastAsia="zh-CN"/>
        </w:rPr>
        <w:t>（二）完善推进机制。</w:t>
      </w:r>
      <w:r>
        <w:rPr>
          <w:rFonts w:hint="eastAsia" w:ascii="仿宋_GB2312" w:hAnsi="仿宋_GB2312" w:eastAsia="仿宋_GB2312" w:cs="仿宋_GB2312"/>
          <w:b w:val="0"/>
          <w:bCs w:val="0"/>
          <w:kern w:val="2"/>
          <w:sz w:val="32"/>
          <w:szCs w:val="32"/>
          <w:lang w:val="en-US" w:eastAsia="zh-CN" w:bidi="ar-SA"/>
        </w:rPr>
        <w:t>市软件产业发展推进领导小组建立联席会议制度，坚持每月调度、每季会商制度，加大园区建设与运行协调力度。指导督促各园区对招商引资、重大项目、平台建设、人才引进等指标情况进行目标考核，落实奖惩机制。</w:t>
      </w:r>
    </w:p>
    <w:p w14:paraId="7BEF9ACB">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14" w:firstLineChars="200"/>
        <w:jc w:val="left"/>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楷体" w:hAnsi="楷体" w:eastAsia="楷体" w:cs="楷体"/>
          <w:b/>
          <w:bCs/>
          <w:sz w:val="32"/>
          <w:szCs w:val="32"/>
          <w:lang w:val="en-US" w:eastAsia="zh-CN"/>
        </w:rPr>
        <w:t>（三）加大政策扶持。</w:t>
      </w:r>
      <w:r>
        <w:rPr>
          <w:rFonts w:hint="eastAsia" w:ascii="仿宋_GB2312" w:hAnsi="仿宋_GB2312" w:eastAsia="仿宋_GB2312" w:cs="仿宋_GB2312"/>
          <w:b w:val="0"/>
          <w:bCs w:val="0"/>
          <w:kern w:val="2"/>
          <w:sz w:val="32"/>
          <w:szCs w:val="32"/>
          <w:lang w:val="en-US" w:eastAsia="zh-CN" w:bidi="ar-SA"/>
        </w:rPr>
        <w:t>结合我市实际，研究制订软件产业发展、人才引进、基础软件及研发工具投资方面给予奖励政策；鼓励工业互联网平台、计算机信息系统集成、数字文化、金融科技和信息安全等领域的国有企业、民营企业、外资企业入园投资发展。对软件产业园区引进的大项目全部纳入绿色审批通道，建立顶格协调机制，以最高效率确保项目最快落地。</w:t>
      </w:r>
    </w:p>
    <w:p w14:paraId="3B6F125E">
      <w:pPr>
        <w:pStyle w:val="4"/>
        <w:keepNext w:val="0"/>
        <w:keepLines w:val="0"/>
        <w:pageBreakBefore w:val="0"/>
        <w:widowControl w:val="0"/>
        <w:kinsoku/>
        <w:wordWrap/>
        <w:overflowPunct/>
        <w:topLinePunct w:val="0"/>
        <w:autoSpaceDE/>
        <w:autoSpaceDN/>
        <w:bidi w:val="0"/>
        <w:adjustRightInd/>
        <w:snapToGrid/>
        <w:spacing w:after="0" w:line="240" w:lineRule="auto"/>
        <w:ind w:firstLine="614" w:firstLineChars="200"/>
        <w:textAlignment w:val="auto"/>
        <w:outlineLvl w:val="9"/>
        <w:rPr>
          <w:rFonts w:hint="eastAsia" w:ascii="仿宋_GB2312" w:hAnsi="仿宋_GB2312" w:eastAsia="仿宋_GB2312" w:cs="仿宋_GB2312"/>
          <w:b w:val="0"/>
          <w:bCs w:val="0"/>
          <w:kern w:val="2"/>
          <w:sz w:val="32"/>
          <w:szCs w:val="32"/>
          <w:lang w:val="en-US" w:eastAsia="zh-CN" w:bidi="ar-SA"/>
        </w:rPr>
      </w:pPr>
      <w:r>
        <w:rPr>
          <w:rFonts w:hint="eastAsia" w:ascii="楷体" w:hAnsi="楷体" w:eastAsia="楷体" w:cs="楷体"/>
          <w:b/>
          <w:bCs/>
          <w:kern w:val="2"/>
          <w:sz w:val="32"/>
          <w:szCs w:val="32"/>
          <w:lang w:val="en-US" w:eastAsia="zh-CN" w:bidi="ar-SA"/>
        </w:rPr>
        <w:t>(四）强化定向招商。</w:t>
      </w:r>
      <w:r>
        <w:rPr>
          <w:rFonts w:hint="eastAsia" w:ascii="仿宋_GB2312" w:hAnsi="仿宋_GB2312" w:eastAsia="仿宋_GB2312" w:cs="仿宋_GB2312"/>
          <w:b w:val="0"/>
          <w:bCs w:val="0"/>
          <w:kern w:val="2"/>
          <w:sz w:val="32"/>
          <w:szCs w:val="32"/>
          <w:lang w:val="en-US" w:eastAsia="zh-CN" w:bidi="ar-SA"/>
        </w:rPr>
        <w:t>成立软件产业招引专班，加强产业定向招商。瞄准北京、上海、杭州、深圳、东莞等地招引龙头企业落地池州，发挥集聚效应。特别是市经开区要加强与北京中关村IC设计园相关企业紧密合作、招引强企，发挥孵化器效应，引领池州软件产业高质量发展。</w:t>
      </w:r>
    </w:p>
    <w:p w14:paraId="4619C651">
      <w:pPr>
        <w:pStyle w:val="4"/>
        <w:keepNext w:val="0"/>
        <w:keepLines w:val="0"/>
        <w:pageBreakBefore w:val="0"/>
        <w:widowControl w:val="0"/>
        <w:kinsoku/>
        <w:wordWrap/>
        <w:overflowPunct/>
        <w:topLinePunct w:val="0"/>
        <w:autoSpaceDE/>
        <w:autoSpaceDN/>
        <w:bidi w:val="0"/>
        <w:adjustRightInd/>
        <w:snapToGrid/>
        <w:spacing w:after="0" w:line="240" w:lineRule="auto"/>
        <w:ind w:firstLine="0" w:firstLineChars="0"/>
        <w:textAlignment w:val="auto"/>
        <w:outlineLvl w:val="9"/>
        <w:rPr>
          <w:rFonts w:hint="eastAsia" w:ascii="仿宋_GB2312" w:hAnsi="仿宋_GB2312" w:eastAsia="仿宋_GB2312" w:cs="仿宋_GB2312"/>
          <w:sz w:val="32"/>
          <w:szCs w:val="32"/>
          <w:lang w:val="en-US" w:eastAsia="zh-CN"/>
        </w:rPr>
      </w:pPr>
    </w:p>
    <w:p w14:paraId="026CE05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黑体" w:hAnsi="黑体" w:eastAsia="黑体" w:cs="黑体"/>
          <w:sz w:val="32"/>
          <w:szCs w:val="32"/>
          <w:lang w:eastAsia="zh-CN"/>
        </w:rPr>
      </w:pPr>
    </w:p>
    <w:p w14:paraId="12A40CF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黑体" w:hAnsi="黑体" w:eastAsia="黑体" w:cs="黑体"/>
          <w:sz w:val="32"/>
          <w:szCs w:val="32"/>
          <w:lang w:eastAsia="zh-CN"/>
        </w:rPr>
      </w:pPr>
    </w:p>
    <w:p w14:paraId="284C91C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黑体" w:hAnsi="黑体" w:eastAsia="黑体" w:cs="黑体"/>
          <w:sz w:val="32"/>
          <w:szCs w:val="32"/>
          <w:lang w:eastAsia="zh-CN"/>
        </w:rPr>
      </w:pPr>
    </w:p>
    <w:p w14:paraId="4839F7AD">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黑体" w:hAnsi="黑体" w:eastAsia="黑体" w:cs="黑体"/>
          <w:sz w:val="32"/>
          <w:szCs w:val="32"/>
          <w:lang w:eastAsia="zh-CN"/>
        </w:rPr>
      </w:pPr>
    </w:p>
    <w:p w14:paraId="144D3401">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黑体" w:hAnsi="黑体" w:eastAsia="黑体" w:cs="黑体"/>
          <w:sz w:val="32"/>
          <w:szCs w:val="32"/>
          <w:lang w:eastAsia="zh-CN"/>
        </w:rPr>
      </w:pPr>
    </w:p>
    <w:p w14:paraId="5E9D8C2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黑体" w:hAnsi="黑体" w:eastAsia="黑体" w:cs="黑体"/>
          <w:sz w:val="32"/>
          <w:szCs w:val="32"/>
          <w:lang w:eastAsia="zh-CN"/>
        </w:rPr>
      </w:pPr>
    </w:p>
    <w:p w14:paraId="79FC00C8">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黑体" w:hAnsi="黑体" w:eastAsia="黑体" w:cs="黑体"/>
          <w:sz w:val="32"/>
          <w:szCs w:val="32"/>
          <w:lang w:eastAsia="zh-CN"/>
        </w:rPr>
      </w:pPr>
    </w:p>
    <w:p w14:paraId="610BE6B3">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黑体" w:hAnsi="黑体" w:eastAsia="黑体" w:cs="黑体"/>
          <w:sz w:val="32"/>
          <w:szCs w:val="32"/>
          <w:lang w:eastAsia="zh-CN"/>
        </w:rPr>
      </w:pPr>
    </w:p>
    <w:p w14:paraId="62CD65C3">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黑体" w:hAnsi="黑体" w:eastAsia="黑体" w:cs="黑体"/>
          <w:sz w:val="32"/>
          <w:szCs w:val="32"/>
          <w:lang w:eastAsia="zh-CN"/>
        </w:rPr>
      </w:pPr>
    </w:p>
    <w:p w14:paraId="193C349F">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黑体" w:hAnsi="黑体" w:eastAsia="黑体" w:cs="黑体"/>
          <w:sz w:val="32"/>
          <w:szCs w:val="32"/>
          <w:lang w:eastAsia="zh-CN"/>
        </w:rPr>
      </w:pPr>
    </w:p>
    <w:p w14:paraId="0D0E3671">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黑体" w:hAnsi="黑体" w:eastAsia="黑体" w:cs="黑体"/>
          <w:sz w:val="32"/>
          <w:szCs w:val="32"/>
          <w:lang w:eastAsia="zh-CN"/>
        </w:rPr>
      </w:pPr>
    </w:p>
    <w:p w14:paraId="33CD9E3E">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黑体" w:hAnsi="黑体" w:eastAsia="黑体" w:cs="黑体"/>
          <w:sz w:val="32"/>
          <w:szCs w:val="32"/>
          <w:lang w:eastAsia="zh-CN"/>
        </w:rPr>
      </w:pPr>
    </w:p>
    <w:p w14:paraId="3E27373A">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黑体" w:hAnsi="黑体" w:eastAsia="黑体" w:cs="黑体"/>
          <w:sz w:val="32"/>
          <w:szCs w:val="32"/>
          <w:lang w:eastAsia="zh-CN"/>
        </w:rPr>
      </w:pPr>
    </w:p>
    <w:p w14:paraId="017687B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黑体" w:hAnsi="黑体" w:eastAsia="黑体" w:cs="黑体"/>
          <w:sz w:val="32"/>
          <w:szCs w:val="32"/>
          <w:lang w:eastAsia="zh-CN"/>
        </w:rPr>
      </w:pPr>
    </w:p>
    <w:p w14:paraId="7A0BD5B3">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黑体" w:hAnsi="黑体" w:eastAsia="黑体" w:cs="黑体"/>
          <w:sz w:val="32"/>
          <w:szCs w:val="32"/>
          <w:lang w:eastAsia="zh-CN"/>
        </w:rPr>
      </w:pPr>
    </w:p>
    <w:p w14:paraId="5B9A65F8">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黑体" w:hAnsi="黑体" w:eastAsia="黑体" w:cs="黑体"/>
          <w:sz w:val="32"/>
          <w:szCs w:val="32"/>
          <w:lang w:eastAsia="zh-CN"/>
        </w:rPr>
      </w:pPr>
    </w:p>
    <w:p w14:paraId="61B8942F">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eastAsia="zh-CN"/>
        </w:rPr>
        <w:t>附件</w:t>
      </w:r>
    </w:p>
    <w:p w14:paraId="76B8FCDD">
      <w:pPr>
        <w:pStyle w:val="4"/>
        <w:keepNext w:val="0"/>
        <w:keepLines w:val="0"/>
        <w:pageBreakBefore w:val="0"/>
        <w:widowControl w:val="0"/>
        <w:kinsoku/>
        <w:wordWrap/>
        <w:overflowPunct/>
        <w:topLinePunct w:val="0"/>
        <w:autoSpaceDE/>
        <w:autoSpaceDN/>
        <w:bidi w:val="0"/>
        <w:adjustRightInd/>
        <w:snapToGrid/>
        <w:spacing w:after="0" w:line="240" w:lineRule="auto"/>
        <w:ind w:firstLine="0" w:firstLineChars="0"/>
        <w:jc w:val="center"/>
        <w:textAlignment w:val="auto"/>
        <w:outlineLvl w:val="9"/>
        <w:rPr>
          <w:rFonts w:hint="eastAsia" w:ascii="仿宋_GB2312" w:hAnsi="仿宋_GB2312" w:eastAsia="仿宋_GB2312" w:cs="仿宋_GB2312"/>
          <w:sz w:val="32"/>
          <w:szCs w:val="32"/>
          <w:lang w:val="en-US" w:eastAsia="zh-CN"/>
        </w:rPr>
      </w:pPr>
      <w:r>
        <w:rPr>
          <w:rFonts w:hint="eastAsia" w:ascii="方正小标宋简体" w:hAnsi="方正小标宋简体" w:eastAsia="方正小标宋简体" w:cs="方正小标宋简体"/>
          <w:sz w:val="44"/>
          <w:szCs w:val="44"/>
        </w:rPr>
        <w:t>池州市</w:t>
      </w:r>
      <w:r>
        <w:rPr>
          <w:rFonts w:hint="eastAsia" w:ascii="方正小标宋简体" w:hAnsi="方正小标宋简体" w:eastAsia="方正小标宋简体" w:cs="方正小标宋简体"/>
          <w:sz w:val="44"/>
          <w:szCs w:val="44"/>
          <w:lang w:val="en-US" w:eastAsia="zh-CN"/>
        </w:rPr>
        <w:t>软件产业发展推进领导小组</w:t>
      </w:r>
      <w:r>
        <w:rPr>
          <w:rFonts w:hint="eastAsia" w:ascii="方正小标宋简体" w:hAnsi="方正小标宋简体" w:eastAsia="方正小标宋简体" w:cs="方正小标宋简体"/>
          <w:sz w:val="44"/>
          <w:szCs w:val="44"/>
        </w:rPr>
        <w:t>名单</w:t>
      </w:r>
    </w:p>
    <w:p w14:paraId="0C41DA5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仿宋_GB2312" w:hAnsi="仿宋_GB2312" w:eastAsia="仿宋_GB2312" w:cs="仿宋_GB2312"/>
          <w:sz w:val="32"/>
          <w:szCs w:val="32"/>
        </w:rPr>
      </w:pPr>
    </w:p>
    <w:p w14:paraId="5F0359CE">
      <w:pPr>
        <w:keepNext w:val="0"/>
        <w:keepLines w:val="0"/>
        <w:pageBreakBefore w:val="0"/>
        <w:widowControl w:val="0"/>
        <w:kinsoku/>
        <w:wordWrap/>
        <w:overflowPunct/>
        <w:topLinePunct w:val="0"/>
        <w:autoSpaceDE/>
        <w:autoSpaceDN/>
        <w:bidi w:val="0"/>
        <w:adjustRightInd/>
        <w:snapToGrid/>
        <w:spacing w:line="240" w:lineRule="auto"/>
        <w:ind w:firstLine="614" w:firstLineChars="2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组  长：何  刚    市政府副市长</w:t>
      </w:r>
    </w:p>
    <w:p w14:paraId="013330A9">
      <w:pPr>
        <w:keepNext w:val="0"/>
        <w:keepLines w:val="0"/>
        <w:pageBreakBefore w:val="0"/>
        <w:widowControl w:val="0"/>
        <w:kinsoku/>
        <w:wordWrap/>
        <w:overflowPunct/>
        <w:topLinePunct w:val="0"/>
        <w:autoSpaceDE/>
        <w:autoSpaceDN/>
        <w:bidi w:val="0"/>
        <w:adjustRightInd/>
        <w:snapToGrid/>
        <w:spacing w:line="240" w:lineRule="auto"/>
        <w:ind w:firstLine="614" w:firstLineChars="2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副组长：江兴来    市政府副秘书长</w:t>
      </w:r>
    </w:p>
    <w:p w14:paraId="18C85570">
      <w:pPr>
        <w:keepNext w:val="0"/>
        <w:keepLines w:val="0"/>
        <w:pageBreakBefore w:val="0"/>
        <w:widowControl w:val="0"/>
        <w:kinsoku/>
        <w:wordWrap/>
        <w:overflowPunct/>
        <w:topLinePunct w:val="0"/>
        <w:autoSpaceDE/>
        <w:autoSpaceDN/>
        <w:bidi w:val="0"/>
        <w:adjustRightInd/>
        <w:snapToGrid/>
        <w:spacing w:line="240" w:lineRule="auto"/>
        <w:ind w:firstLine="1842" w:firstLineChars="6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赵  晖    市经济和信息化局局长</w:t>
      </w:r>
    </w:p>
    <w:p w14:paraId="4A48D1B6">
      <w:pPr>
        <w:keepNext w:val="0"/>
        <w:keepLines w:val="0"/>
        <w:pageBreakBefore w:val="0"/>
        <w:widowControl w:val="0"/>
        <w:kinsoku/>
        <w:wordWrap/>
        <w:overflowPunct/>
        <w:topLinePunct w:val="0"/>
        <w:autoSpaceDE/>
        <w:autoSpaceDN/>
        <w:bidi w:val="0"/>
        <w:adjustRightInd/>
        <w:snapToGrid/>
        <w:spacing w:line="240" w:lineRule="auto"/>
        <w:ind w:firstLine="614" w:firstLineChars="2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成  员：胡小艺    江南新兴产业集中区管委会党工委委员</w:t>
      </w:r>
    </w:p>
    <w:p w14:paraId="097C4D1E">
      <w:pPr>
        <w:keepNext w:val="0"/>
        <w:keepLines w:val="0"/>
        <w:pageBreakBefore w:val="0"/>
        <w:widowControl w:val="0"/>
        <w:kinsoku/>
        <w:wordWrap/>
        <w:overflowPunct/>
        <w:topLinePunct w:val="0"/>
        <w:autoSpaceDE/>
        <w:autoSpaceDN/>
        <w:bidi w:val="0"/>
        <w:adjustRightInd/>
        <w:snapToGrid/>
        <w:spacing w:line="240" w:lineRule="auto"/>
        <w:ind w:firstLine="1842" w:firstLineChars="6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 xml:space="preserve">朱学华    市经济开发区管委会副主任 </w:t>
      </w:r>
    </w:p>
    <w:p w14:paraId="2EBFFC62">
      <w:pPr>
        <w:keepNext w:val="0"/>
        <w:keepLines w:val="0"/>
        <w:pageBreakBefore w:val="0"/>
        <w:widowControl w:val="0"/>
        <w:kinsoku/>
        <w:wordWrap/>
        <w:overflowPunct/>
        <w:topLinePunct w:val="0"/>
        <w:autoSpaceDE/>
        <w:autoSpaceDN/>
        <w:bidi w:val="0"/>
        <w:adjustRightInd/>
        <w:snapToGrid/>
        <w:spacing w:line="240" w:lineRule="auto"/>
        <w:ind w:firstLine="1842" w:firstLineChars="6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 xml:space="preserve">汪学文    池州高新区管委会副主任            </w:t>
      </w:r>
    </w:p>
    <w:p w14:paraId="71DA8DE1">
      <w:pPr>
        <w:keepNext w:val="0"/>
        <w:keepLines w:val="0"/>
        <w:pageBreakBefore w:val="0"/>
        <w:widowControl w:val="0"/>
        <w:kinsoku/>
        <w:wordWrap/>
        <w:overflowPunct/>
        <w:topLinePunct w:val="0"/>
        <w:autoSpaceDE/>
        <w:autoSpaceDN/>
        <w:bidi w:val="0"/>
        <w:adjustRightInd/>
        <w:snapToGrid/>
        <w:spacing w:line="240" w:lineRule="auto"/>
        <w:ind w:firstLine="614" w:firstLineChars="2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 xml:space="preserve">        胡日红    市发展改革委副主任</w:t>
      </w:r>
    </w:p>
    <w:p w14:paraId="5DB4ED68">
      <w:pPr>
        <w:keepNext w:val="0"/>
        <w:keepLines w:val="0"/>
        <w:pageBreakBefore w:val="0"/>
        <w:widowControl w:val="0"/>
        <w:kinsoku/>
        <w:wordWrap/>
        <w:overflowPunct/>
        <w:topLinePunct w:val="0"/>
        <w:autoSpaceDE/>
        <w:autoSpaceDN/>
        <w:bidi w:val="0"/>
        <w:adjustRightInd/>
        <w:snapToGrid/>
        <w:spacing w:line="240" w:lineRule="auto"/>
        <w:ind w:firstLine="614" w:firstLineChars="2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 xml:space="preserve">        刘程华    市科技局副局长</w:t>
      </w:r>
    </w:p>
    <w:p w14:paraId="1A40EBFA">
      <w:pPr>
        <w:keepNext w:val="0"/>
        <w:keepLines w:val="0"/>
        <w:pageBreakBefore w:val="0"/>
        <w:widowControl w:val="0"/>
        <w:kinsoku/>
        <w:wordWrap/>
        <w:overflowPunct/>
        <w:topLinePunct w:val="0"/>
        <w:autoSpaceDE/>
        <w:autoSpaceDN/>
        <w:bidi w:val="0"/>
        <w:adjustRightInd/>
        <w:snapToGrid/>
        <w:spacing w:line="240" w:lineRule="auto"/>
        <w:ind w:firstLine="1842" w:firstLineChars="6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汪泽林    市经济和信息化局副局长</w:t>
      </w:r>
    </w:p>
    <w:p w14:paraId="63704D22">
      <w:pPr>
        <w:keepNext w:val="0"/>
        <w:keepLines w:val="0"/>
        <w:pageBreakBefore w:val="0"/>
        <w:widowControl w:val="0"/>
        <w:kinsoku/>
        <w:wordWrap/>
        <w:overflowPunct/>
        <w:topLinePunct w:val="0"/>
        <w:autoSpaceDE/>
        <w:autoSpaceDN/>
        <w:bidi w:val="0"/>
        <w:adjustRightInd/>
        <w:snapToGrid/>
        <w:spacing w:line="240" w:lineRule="auto"/>
        <w:ind w:firstLine="614" w:firstLineChars="2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 xml:space="preserve">        汪冰冰    市财政局副局长</w:t>
      </w:r>
    </w:p>
    <w:p w14:paraId="36859A96">
      <w:pPr>
        <w:pStyle w:val="2"/>
        <w:ind w:firstLine="1830" w:firstLineChars="596"/>
        <w:rPr>
          <w:rFonts w:hint="eastAsia" w:eastAsia="仿宋_GB2312"/>
          <w:lang w:val="en-US" w:eastAsia="zh-CN"/>
        </w:rPr>
      </w:pPr>
      <w:r>
        <w:rPr>
          <w:rFonts w:hint="eastAsia" w:ascii="仿宋_GB2312" w:hAnsi="仿宋_GB2312" w:cs="仿宋_GB2312"/>
          <w:sz w:val="32"/>
          <w:szCs w:val="32"/>
          <w:lang w:eastAsia="zh-CN"/>
        </w:rPr>
        <w:t>姚</w:t>
      </w:r>
      <w:r>
        <w:rPr>
          <w:rFonts w:hint="eastAsia" w:ascii="仿宋_GB2312" w:hAnsi="仿宋_GB2312" w:cs="仿宋_GB2312"/>
          <w:sz w:val="32"/>
          <w:szCs w:val="32"/>
          <w:lang w:val="en-US" w:eastAsia="zh-CN"/>
        </w:rPr>
        <w:t xml:space="preserve">  </w:t>
      </w:r>
      <w:r>
        <w:rPr>
          <w:rFonts w:hint="eastAsia" w:ascii="仿宋_GB2312" w:hAnsi="仿宋_GB2312" w:cs="仿宋_GB2312"/>
          <w:sz w:val="32"/>
          <w:szCs w:val="32"/>
          <w:lang w:eastAsia="zh-CN"/>
        </w:rPr>
        <w:t>萍</w:t>
      </w:r>
      <w:r>
        <w:rPr>
          <w:rFonts w:hint="eastAsia" w:ascii="仿宋_GB2312" w:hAnsi="仿宋_GB2312" w:cs="仿宋_GB2312"/>
          <w:sz w:val="32"/>
          <w:szCs w:val="32"/>
          <w:lang w:val="en-US" w:eastAsia="zh-CN"/>
        </w:rPr>
        <w:t xml:space="preserve">    </w:t>
      </w:r>
      <w:r>
        <w:rPr>
          <w:rFonts w:hint="eastAsia" w:ascii="仿宋_GB2312" w:hAnsi="仿宋_GB2312" w:eastAsia="仿宋_GB2312" w:cs="仿宋_GB2312"/>
          <w:sz w:val="32"/>
          <w:szCs w:val="32"/>
        </w:rPr>
        <w:t>市</w:t>
      </w:r>
      <w:r>
        <w:rPr>
          <w:rFonts w:ascii="仿宋_GB2312" w:hAnsi="仿宋_GB2312" w:eastAsia="仿宋_GB2312" w:cs="仿宋_GB2312"/>
          <w:sz w:val="32"/>
          <w:szCs w:val="32"/>
        </w:rPr>
        <w:t>人力资源社会保障局</w:t>
      </w:r>
      <w:r>
        <w:rPr>
          <w:rFonts w:hint="eastAsia" w:ascii="仿宋_GB2312" w:hAnsi="仿宋_GB2312" w:cs="仿宋_GB2312"/>
          <w:sz w:val="32"/>
          <w:szCs w:val="32"/>
          <w:lang w:eastAsia="zh-CN"/>
        </w:rPr>
        <w:t>副局长</w:t>
      </w:r>
    </w:p>
    <w:p w14:paraId="67C0D5DF">
      <w:pPr>
        <w:keepNext w:val="0"/>
        <w:keepLines w:val="0"/>
        <w:pageBreakBefore w:val="0"/>
        <w:widowControl w:val="0"/>
        <w:kinsoku/>
        <w:wordWrap/>
        <w:overflowPunct/>
        <w:topLinePunct w:val="0"/>
        <w:autoSpaceDE/>
        <w:autoSpaceDN/>
        <w:bidi w:val="0"/>
        <w:adjustRightInd/>
        <w:snapToGrid/>
        <w:spacing w:line="240" w:lineRule="auto"/>
        <w:ind w:firstLine="1842" w:firstLineChars="6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王效愚    市市场监督管理局副局长</w:t>
      </w:r>
    </w:p>
    <w:p w14:paraId="5ECBCA3E">
      <w:pPr>
        <w:keepNext w:val="0"/>
        <w:keepLines w:val="0"/>
        <w:pageBreakBefore w:val="0"/>
        <w:widowControl w:val="0"/>
        <w:kinsoku/>
        <w:wordWrap/>
        <w:overflowPunct/>
        <w:topLinePunct w:val="0"/>
        <w:autoSpaceDE/>
        <w:autoSpaceDN/>
        <w:bidi w:val="0"/>
        <w:adjustRightInd/>
        <w:snapToGrid/>
        <w:spacing w:line="240" w:lineRule="auto"/>
        <w:ind w:firstLine="1842" w:firstLineChars="6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b w:val="0"/>
          <w:bCs w:val="0"/>
          <w:kern w:val="2"/>
          <w:sz w:val="32"/>
          <w:szCs w:val="32"/>
          <w:lang w:val="en-US" w:eastAsia="zh-CN" w:bidi="ar-SA"/>
        </w:rPr>
        <w:t xml:space="preserve">汪道军    </w:t>
      </w:r>
      <w:r>
        <w:rPr>
          <w:rFonts w:hint="eastAsia" w:ascii="仿宋_GB2312" w:hAnsi="仿宋_GB2312" w:eastAsia="仿宋_GB2312" w:cs="仿宋_GB2312"/>
          <w:sz w:val="32"/>
          <w:szCs w:val="32"/>
        </w:rPr>
        <w:t>市</w:t>
      </w:r>
      <w:r>
        <w:rPr>
          <w:rFonts w:ascii="仿宋_GB2312" w:hAnsi="仿宋_GB2312" w:eastAsia="仿宋_GB2312" w:cs="仿宋_GB2312"/>
          <w:sz w:val="32"/>
          <w:szCs w:val="32"/>
        </w:rPr>
        <w:t>统计局</w:t>
      </w:r>
      <w:r>
        <w:rPr>
          <w:rFonts w:hint="eastAsia" w:ascii="仿宋_GB2312" w:hAnsi="仿宋_GB2312" w:eastAsia="仿宋_GB2312" w:cs="仿宋_GB2312"/>
          <w:sz w:val="32"/>
          <w:szCs w:val="32"/>
          <w:lang w:eastAsia="zh-CN"/>
        </w:rPr>
        <w:t>总统计师</w:t>
      </w:r>
    </w:p>
    <w:p w14:paraId="78094562">
      <w:pPr>
        <w:keepNext w:val="0"/>
        <w:keepLines w:val="0"/>
        <w:pageBreakBefore w:val="0"/>
        <w:widowControl w:val="0"/>
        <w:kinsoku/>
        <w:wordWrap/>
        <w:overflowPunct/>
        <w:topLinePunct w:val="0"/>
        <w:autoSpaceDE/>
        <w:autoSpaceDN/>
        <w:bidi w:val="0"/>
        <w:adjustRightInd/>
        <w:snapToGrid/>
        <w:spacing w:line="240" w:lineRule="auto"/>
        <w:ind w:firstLine="614" w:firstLineChars="200"/>
        <w:textAlignment w:val="auto"/>
        <w:rPr>
          <w:rFonts w:hint="eastAsia" w:ascii="仿宋_GB2312" w:hAnsi="仿宋_GB2312" w:eastAsia="仿宋_GB2312" w:cs="仿宋_GB2312"/>
          <w:b w:val="0"/>
          <w:bCs w:val="0"/>
          <w:kern w:val="2"/>
          <w:sz w:val="32"/>
          <w:szCs w:val="32"/>
          <w:lang w:val="en-US" w:eastAsia="zh-CN" w:bidi="ar-SA"/>
        </w:rPr>
      </w:pPr>
      <w:r>
        <w:rPr>
          <w:rFonts w:hint="eastAsia" w:ascii="仿宋_GB2312" w:hAnsi="仿宋_GB2312" w:eastAsia="仿宋_GB2312" w:cs="仿宋_GB2312"/>
          <w:b w:val="0"/>
          <w:bCs w:val="0"/>
          <w:kern w:val="2"/>
          <w:sz w:val="32"/>
          <w:szCs w:val="32"/>
          <w:lang w:val="en-US" w:eastAsia="zh-CN" w:bidi="ar-SA"/>
        </w:rPr>
        <w:t>领导小组办公室设在市经济和信息化局，汪泽林同志兼任办公室主任。</w:t>
      </w:r>
    </w:p>
    <w:p w14:paraId="471AC3F7">
      <w:pPr>
        <w:keepNext w:val="0"/>
        <w:keepLines w:val="0"/>
        <w:pageBreakBefore w:val="0"/>
        <w:widowControl w:val="0"/>
        <w:kinsoku/>
        <w:wordWrap/>
        <w:overflowPunct/>
        <w:topLinePunct w:val="0"/>
        <w:autoSpaceDE/>
        <w:autoSpaceDN/>
        <w:bidi w:val="0"/>
        <w:adjustRightInd/>
        <w:snapToGrid/>
        <w:spacing w:line="240" w:lineRule="auto"/>
        <w:ind w:firstLine="614" w:firstLineChars="200"/>
        <w:textAlignment w:val="auto"/>
        <w:rPr>
          <w:rFonts w:hint="eastAsia" w:ascii="仿宋_GB2312" w:hAnsi="仿宋_GB2312" w:eastAsia="仿宋_GB2312" w:cs="仿宋_GB2312"/>
          <w:b w:val="0"/>
          <w:bCs w:val="0"/>
          <w:kern w:val="2"/>
          <w:sz w:val="32"/>
          <w:szCs w:val="32"/>
          <w:lang w:val="en-US" w:eastAsia="zh-CN" w:bidi="ar-SA"/>
        </w:rPr>
      </w:pPr>
    </w:p>
    <w:p w14:paraId="5DDD3F8A">
      <w:pPr>
        <w:pStyle w:val="4"/>
        <w:keepNext w:val="0"/>
        <w:keepLines w:val="0"/>
        <w:pageBreakBefore w:val="0"/>
        <w:widowControl w:val="0"/>
        <w:kinsoku/>
        <w:wordWrap/>
        <w:overflowPunct/>
        <w:topLinePunct w:val="0"/>
        <w:autoSpaceDE/>
        <w:autoSpaceDN/>
        <w:bidi w:val="0"/>
        <w:adjustRightInd/>
        <w:snapToGrid/>
        <w:spacing w:after="0" w:line="240" w:lineRule="auto"/>
        <w:ind w:firstLine="0" w:firstLineChars="0"/>
        <w:textAlignment w:val="auto"/>
        <w:outlineLvl w:val="9"/>
        <w:rPr>
          <w:rFonts w:hint="eastAsia" w:ascii="仿宋_GB2312" w:hAnsi="仿宋_GB2312" w:eastAsia="仿宋_GB2312" w:cs="仿宋_GB2312"/>
          <w:b w:val="0"/>
          <w:bCs w:val="0"/>
          <w:kern w:val="2"/>
          <w:sz w:val="32"/>
          <w:szCs w:val="32"/>
          <w:lang w:val="en-US" w:eastAsia="zh-CN" w:bidi="ar-SA"/>
        </w:rPr>
      </w:pPr>
    </w:p>
    <w:p w14:paraId="7430C3E2">
      <w:pPr>
        <w:pStyle w:val="4"/>
        <w:keepNext w:val="0"/>
        <w:keepLines w:val="0"/>
        <w:pageBreakBefore w:val="0"/>
        <w:widowControl w:val="0"/>
        <w:kinsoku/>
        <w:wordWrap/>
        <w:overflowPunct/>
        <w:topLinePunct w:val="0"/>
        <w:autoSpaceDE/>
        <w:autoSpaceDN/>
        <w:bidi w:val="0"/>
        <w:adjustRightInd/>
        <w:snapToGrid/>
        <w:spacing w:after="0" w:line="240" w:lineRule="auto"/>
        <w:ind w:firstLine="0" w:firstLineChars="0"/>
        <w:textAlignment w:val="auto"/>
        <w:outlineLvl w:val="9"/>
        <w:rPr>
          <w:rFonts w:hint="eastAsia" w:ascii="仿宋_GB2312" w:hAnsi="仿宋_GB2312" w:eastAsia="仿宋_GB2312" w:cs="仿宋_GB2312"/>
          <w:b w:val="0"/>
          <w:bCs w:val="0"/>
          <w:kern w:val="2"/>
          <w:sz w:val="32"/>
          <w:szCs w:val="32"/>
          <w:lang w:val="en-US" w:eastAsia="zh-CN" w:bidi="ar-SA"/>
        </w:rPr>
      </w:pPr>
    </w:p>
    <w:p w14:paraId="21E53BCE">
      <w:pPr>
        <w:pStyle w:val="4"/>
        <w:keepNext w:val="0"/>
        <w:keepLines w:val="0"/>
        <w:pageBreakBefore w:val="0"/>
        <w:widowControl w:val="0"/>
        <w:kinsoku/>
        <w:wordWrap/>
        <w:overflowPunct/>
        <w:topLinePunct w:val="0"/>
        <w:autoSpaceDE/>
        <w:autoSpaceDN/>
        <w:bidi w:val="0"/>
        <w:adjustRightInd/>
        <w:snapToGrid/>
        <w:spacing w:after="0" w:line="240" w:lineRule="auto"/>
        <w:ind w:firstLine="0" w:firstLineChars="0"/>
        <w:textAlignment w:val="auto"/>
        <w:outlineLvl w:val="9"/>
        <w:rPr>
          <w:rFonts w:hint="eastAsia" w:ascii="仿宋_GB2312" w:hAnsi="仿宋_GB2312" w:eastAsia="仿宋_GB2312" w:cs="仿宋_GB2312"/>
          <w:b w:val="0"/>
          <w:bCs w:val="0"/>
          <w:kern w:val="2"/>
          <w:sz w:val="32"/>
          <w:szCs w:val="32"/>
          <w:lang w:val="en-US" w:eastAsia="zh-CN" w:bidi="ar-SA"/>
        </w:rPr>
      </w:pPr>
    </w:p>
    <w:sectPr>
      <w:footerReference r:id="rId3" w:type="default"/>
      <w:pgSz w:w="11906" w:h="16838"/>
      <w:pgMar w:top="1723" w:right="1633" w:bottom="1497" w:left="1633" w:header="851" w:footer="992" w:gutter="0"/>
      <w:pgNumType w:fmt="decimal"/>
      <w:cols w:space="0" w:num="1"/>
      <w:rtlGutter w:val="0"/>
      <w:docGrid w:type="linesAndChars" w:linePitch="302" w:charSpace="-279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仿宋_GB2312">
    <w:altName w:val="仿宋"/>
    <w:panose1 w:val="02000000000000000000"/>
    <w:charset w:val="86"/>
    <w:family w:val="auto"/>
    <w:pitch w:val="default"/>
    <w:sig w:usb0="00000000" w:usb1="00000000"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B2D56">
    <w:pPr>
      <w:pStyle w:val="5"/>
    </w:pPr>
    <w:r>
      <w:rPr>
        <w:sz w:val="18"/>
      </w:rPr>
      <mc:AlternateContent>
        <mc:Choice Requires="wps">
          <w:drawing>
            <wp:anchor distT="0" distB="0" distL="114300" distR="114300" simplePos="0" relativeHeight="251660288" behindDoc="0" locked="0" layoutInCell="1" allowOverlap="1">
              <wp:simplePos x="0" y="0"/>
              <wp:positionH relativeFrom="margin">
                <wp:posOffset>2382520</wp:posOffset>
              </wp:positionH>
              <wp:positionV relativeFrom="paragraph">
                <wp:posOffset>-241935</wp:posOffset>
              </wp:positionV>
              <wp:extent cx="521335" cy="293370"/>
              <wp:effectExtent l="0" t="0" r="0" b="0"/>
              <wp:wrapNone/>
              <wp:docPr id="6" name="文本框 6"/>
              <wp:cNvGraphicFramePr/>
              <a:graphic xmlns:a="http://schemas.openxmlformats.org/drawingml/2006/main">
                <a:graphicData uri="http://schemas.microsoft.com/office/word/2010/wordprocessingShape">
                  <wps:wsp>
                    <wps:cNvSpPr txBox="1"/>
                    <wps:spPr>
                      <a:xfrm>
                        <a:off x="0" y="0"/>
                        <a:ext cx="521335" cy="29337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96173A">
                          <w:pPr>
                            <w:pStyle w:val="5"/>
                            <w:jc w:val="center"/>
                            <w:rPr>
                              <w:rFonts w:hint="eastAsia" w:eastAsia="宋体"/>
                              <w:sz w:val="24"/>
                              <w:szCs w:val="24"/>
                              <w:lang w:eastAsia="zh-CN"/>
                            </w:rPr>
                          </w:pPr>
                          <w:r>
                            <w:rPr>
                              <w:rFonts w:hint="eastAsia"/>
                              <w:sz w:val="24"/>
                              <w:szCs w:val="24"/>
                              <w:lang w:eastAsia="zh-CN"/>
                            </w:rPr>
                            <w:t>—</w:t>
                          </w: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rFonts w:hint="eastAsia"/>
                              <w:sz w:val="24"/>
                              <w:szCs w:val="24"/>
                              <w:lang w:eastAsia="zh-CN"/>
                            </w:rPr>
                            <w:t>1</w:t>
                          </w:r>
                          <w:r>
                            <w:rPr>
                              <w:rFonts w:hint="eastAsia"/>
                              <w:sz w:val="24"/>
                              <w:szCs w:val="24"/>
                              <w:lang w:eastAsia="zh-CN"/>
                            </w:rPr>
                            <w:fldChar w:fldCharType="end"/>
                          </w:r>
                          <w:r>
                            <w:rPr>
                              <w:rFonts w:hint="eastAsia"/>
                              <w:sz w:val="24"/>
                              <w:szCs w:val="24"/>
                              <w:lang w:eastAsia="zh-CN"/>
                            </w:rPr>
                            <w:t>—</w:t>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87.6pt;margin-top:-19.05pt;height:23.1pt;width:41.05pt;mso-position-horizontal-relative:margin;z-index:251660288;mso-width-relative:page;mso-height-relative:page;" filled="f" stroked="f" coordsize="21600,21600" o:gfxdata="UEsDBAoAAAAAAIdO4kAAAAAAAAAAAAAAAAAEAAAAZHJzL1BLAwQUAAAACACHTuJAxWWUTtgAAAAJ&#10;AQAADwAAAGRycy9kb3ducmV2LnhtbE2Py07DMBBF90j8gzVI7Fo7DaVVyKQLHjug0BYJdk5skgg/&#10;IttJy98zrGB5NUf3nik3J2vYpEPsvUPI5gKYdo1XvWsRDvuH2RpYTNIpabzTCN86wqY6PytlofzR&#10;veppl1pGJS4WEqFLaSg4j02nrYxzP2hHt08frEwUQ8tVkEcqt4YvhLjmVvaOFjo56NtON1+70SKY&#10;9xgea5E+prv2Kb1s+fh2nz0jXl5k4gZY0qf0B8OvPqlDRU61H52KzCDkq+WCUIRZvs6AEXG1XOXA&#10;agTKvCr5/w+qH1BLAwQUAAAACACHTuJACvKOwjYCAABhBAAADgAAAGRycy9lMm9Eb2MueG1srVTN&#10;jtMwEL4j8Q6W7zT9UQtUTVdlqyKkil2pIM6u4zSWbI+x3SblAeANOHHhznP1ORg7SRctHPbAxZ3M&#10;//fNTBc3jVbkJJyXYHI6GgwpEYZDIc0hpx8/bF68osQHZgqmwIicnoWnN8vnzxa1nYsxVKAK4Qgm&#10;MX5e25xWIdh5lnleCc38AKwwaCzBaRbw0x2ywrEas2uVjYfDWVaDK6wDLrxH7bo10i6je0pCKEvJ&#10;xRr4UQsT2qxOKBYQkq+k9XSZui1LwcNdWXoRiMopIg3pxSIo7+ObLRdsfnDMVpJ3LbCntPAIk2bS&#10;YNFrqjULjByd/CuVltyBhzIMOOisBZIYQRSj4SNudhWzImFBqr29ku7/X1r+/nTviCxyOqPEMI0D&#10;v3z/dvnx6/LzK5lFemrr5+i1s+gXmjfQ4NL0eo/KiLopnY6/iIegHck9X8kVTSAcldPxaDKZUsLR&#10;NH49mbxM5GcPwdb58FaAJlHIqcPZJUrZaesDNoKuvUusZWAjlUrzU4bUCGAyHaaAqwUjlMHACKFt&#10;NUqh2Tcdrj0UZ4TloN0Lb/lGYvEt8+GeOVwERIKnEu7wKRVgEegkSipwX/6lj/44H7RSUuNi5dR/&#10;PjInKFHvDE4ubmEvuF7Y94I56lvAXR3hEVqeRAxwQfVi6UB/wgtaxSpoYoZjrZyGXrwN7XrjBXKx&#10;WiWno3XyULUBuHeWha3ZWR7LtFSujgFKmViOFLW8dMzh5iXyuyuJq/3nd/J6+GdY/gZ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DFZZRO2AAAAAkBAAAPAAAAAAAAAAEAIAAAACIAAABkcnMvZG93bnJl&#10;di54bWxQSwECFAAUAAAACACHTuJACvKOwjYCAABhBAAADgAAAAAAAAABACAAAAAnAQAAZHJzL2Uy&#10;b0RvYy54bWxQSwUGAAAAAAYABgBZAQAAzwUAAAAA&#10;">
              <v:fill on="f" focussize="0,0"/>
              <v:stroke on="f" weight="0.5pt"/>
              <v:imagedata o:title=""/>
              <o:lock v:ext="edit" aspectratio="f"/>
              <v:textbox inset="0mm,0mm,0mm,0mm">
                <w:txbxContent>
                  <w:p w14:paraId="6F96173A">
                    <w:pPr>
                      <w:pStyle w:val="5"/>
                      <w:jc w:val="center"/>
                      <w:rPr>
                        <w:rFonts w:hint="eastAsia" w:eastAsia="宋体"/>
                        <w:sz w:val="24"/>
                        <w:szCs w:val="24"/>
                        <w:lang w:eastAsia="zh-CN"/>
                      </w:rPr>
                    </w:pPr>
                    <w:r>
                      <w:rPr>
                        <w:rFonts w:hint="eastAsia"/>
                        <w:sz w:val="24"/>
                        <w:szCs w:val="24"/>
                        <w:lang w:eastAsia="zh-CN"/>
                      </w:rPr>
                      <w:t>—</w:t>
                    </w:r>
                    <w:r>
                      <w:rPr>
                        <w:rFonts w:hint="eastAsia"/>
                        <w:sz w:val="24"/>
                        <w:szCs w:val="24"/>
                        <w:lang w:eastAsia="zh-CN"/>
                      </w:rPr>
                      <w:fldChar w:fldCharType="begin"/>
                    </w:r>
                    <w:r>
                      <w:rPr>
                        <w:rFonts w:hint="eastAsia"/>
                        <w:sz w:val="24"/>
                        <w:szCs w:val="24"/>
                        <w:lang w:eastAsia="zh-CN"/>
                      </w:rPr>
                      <w:instrText xml:space="preserve"> PAGE  \* MERGEFORMAT </w:instrText>
                    </w:r>
                    <w:r>
                      <w:rPr>
                        <w:rFonts w:hint="eastAsia"/>
                        <w:sz w:val="24"/>
                        <w:szCs w:val="24"/>
                        <w:lang w:eastAsia="zh-CN"/>
                      </w:rPr>
                      <w:fldChar w:fldCharType="separate"/>
                    </w:r>
                    <w:r>
                      <w:rPr>
                        <w:rFonts w:hint="eastAsia"/>
                        <w:sz w:val="24"/>
                        <w:szCs w:val="24"/>
                        <w:lang w:eastAsia="zh-CN"/>
                      </w:rPr>
                      <w:t>1</w:t>
                    </w:r>
                    <w:r>
                      <w:rPr>
                        <w:rFonts w:hint="eastAsia"/>
                        <w:sz w:val="24"/>
                        <w:szCs w:val="24"/>
                        <w:lang w:eastAsia="zh-CN"/>
                      </w:rPr>
                      <w:fldChar w:fldCharType="end"/>
                    </w:r>
                    <w:r>
                      <w:rPr>
                        <w:rFonts w:hint="eastAsia"/>
                        <w:sz w:val="24"/>
                        <w:szCs w:val="24"/>
                        <w:lang w:eastAsia="zh-CN"/>
                      </w:rPr>
                      <w:t>—</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653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7653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24B857">
                          <w:pPr>
                            <w:pStyle w:val="5"/>
                            <w:rPr>
                              <w:rFonts w:hint="eastAsia" w:eastAsia="宋体"/>
                              <w:lang w:eastAsia="zh-CN"/>
                            </w:rPr>
                          </w:pP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3.9pt;mso-position-horizontal:center;mso-position-horizontal-relative:margin;z-index:251659264;mso-width-relative:page;mso-height-relative:page;" filled="f" stroked="f" coordsize="21600,21600" o:gfxdata="UEsDBAoAAAAAAIdO4kAAAAAAAAAAAAAAAAAEAAAAZHJzL1BLAwQUAAAACACHTuJAziWdctIAAAAE&#10;AQAADwAAAGRycy9kb3ducmV2LnhtbE2PMU/DQAyFdyT+w8lIbPSuHSAKuXRA0AEmUoQY3cTJpc35&#10;otw1Lfx6DAsstqxnP3+vWJ/9oGaaYh/YwnJhQBHXoem5s/C2fbrJQMWE3OAQmCx8UoR1eXlRYN6E&#10;E7/SXKVOiQnHHC24lMZc61g78hgXYSQWrQ2TxyTj1OlmwpOY+0GvjLnVHnuWDw5HenBUH6qjF4z3&#10;F+M3X6378M/Yxspt583j3trrq6W5B5XonP6W4QdfbqAUpl04chPVYEGCpN8q2upOUuykZ5kBXRb6&#10;P3z5DVBLAwQUAAAACACHTuJAwzvRhDYCAABiBAAADgAAAGRycy9lMm9Eb2MueG1srVTLjtMwFN0j&#10;8Q+W9zRtR1OqqumoTFWEVDEjDYi16zhNJL+w3SblA+APWLFhz3f1Ozh20g4aWMyCjXvi+zznXnd+&#10;0ypJDsL52uicjgZDSoTmpqj1LqcfP6xfTSnxgemCSaNFTo/C05vFyxfzxs7E2FRGFsIRJNF+1tic&#10;ViHYWZZ5XgnF/MBYoWEsjVMs4NPtssKxBtmVzMbD4SRrjCusM1x4j9tVZ6R9RvechKYsay5Whu+V&#10;0KHL6oRkAZR8VVtPF6nbshQ83JWlF4HInIJpSCeKAG/jmS3mbLZzzFY171tgz2nhCSfFao2il1Qr&#10;FhjZu/qvVKrmznhThgE3KuuIJEXAYjR8os1DxaxIXCC1txfR/f9Ly98f7h2pC2wCJZopDPz0/dvp&#10;x6/Tz69kFOVprJ/B68HCL7RvTBtd+3uPy8i6LZ2Kv+BDYIe4x4u4og2Ex6DXk+srWDhMo+l4Oh0m&#10;9bPHaOt8eCuMIhHk1GF4SVN22PiAinA9u8Ri2qxrKdMApSZNTidX18MUcLEgQmoERg5drxGFdtv2&#10;BLamOIKXM91ieMvXNYpvmA/3zGET0DDeSrjDUUqDIqZHlFTGffnXffTHgGClpMFm5dR/3jMnKJHv&#10;NEaHlOEM3Blsz0Dv1a3BsmIc6CZBBLggz7B0Rn3CE1rGKjAxzVErp+EMb0O333iCXCyXyWlvXb2r&#10;ugAsnmVhox8sj2WilN4u9wFyJpWjRJ0uvXJYvSR+/0zibv/5nbwe/xo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OJZ1y0gAAAAQBAAAPAAAAAAAAAAEAIAAAACIAAABkcnMvZG93bnJldi54bWxQ&#10;SwECFAAUAAAACACHTuJAwzvRhDYCAABiBAAADgAAAAAAAAABACAAAAAhAQAAZHJzL2Uyb0RvYy54&#10;bWxQSwUGAAAAAAYABgBZAQAAyQUAAAAA&#10;">
              <v:fill on="f" focussize="0,0"/>
              <v:stroke on="f" weight="0.5pt"/>
              <v:imagedata o:title=""/>
              <o:lock v:ext="edit" aspectratio="f"/>
              <v:textbox inset="0mm,0mm,0mm,0mm" style="mso-fit-shape-to-text:t;">
                <w:txbxContent>
                  <w:p w14:paraId="5324B857">
                    <w:pPr>
                      <w:pStyle w:val="5"/>
                      <w:rPr>
                        <w:rFonts w:hint="eastAsia" w:eastAsia="宋体"/>
                        <w:lang w:eastAsia="zh-CN"/>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98"/>
  <w:drawingGridVerticalSpacing w:val="151"/>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9B5A89"/>
    <w:rsid w:val="009E579F"/>
    <w:rsid w:val="02A67EB1"/>
    <w:rsid w:val="03AD311F"/>
    <w:rsid w:val="049F61EE"/>
    <w:rsid w:val="050F3DD1"/>
    <w:rsid w:val="05224CBA"/>
    <w:rsid w:val="055B71C8"/>
    <w:rsid w:val="05B430C2"/>
    <w:rsid w:val="07192745"/>
    <w:rsid w:val="093D0F0D"/>
    <w:rsid w:val="0B300BB0"/>
    <w:rsid w:val="0B846213"/>
    <w:rsid w:val="0B9147B8"/>
    <w:rsid w:val="0D9974ED"/>
    <w:rsid w:val="0DC87A4E"/>
    <w:rsid w:val="0EB14617"/>
    <w:rsid w:val="0FB07C3B"/>
    <w:rsid w:val="10036270"/>
    <w:rsid w:val="135D7005"/>
    <w:rsid w:val="13B5607E"/>
    <w:rsid w:val="16697592"/>
    <w:rsid w:val="17740AEA"/>
    <w:rsid w:val="17D620A0"/>
    <w:rsid w:val="17F20B56"/>
    <w:rsid w:val="180224D1"/>
    <w:rsid w:val="1944033C"/>
    <w:rsid w:val="19B46140"/>
    <w:rsid w:val="1A2F7BBF"/>
    <w:rsid w:val="1D711B3D"/>
    <w:rsid w:val="1DE67D34"/>
    <w:rsid w:val="1F4C0CF6"/>
    <w:rsid w:val="212B57C6"/>
    <w:rsid w:val="227A5F75"/>
    <w:rsid w:val="253E0B4F"/>
    <w:rsid w:val="258121C5"/>
    <w:rsid w:val="273126A5"/>
    <w:rsid w:val="27EC45DB"/>
    <w:rsid w:val="281A146A"/>
    <w:rsid w:val="29180DB0"/>
    <w:rsid w:val="29DE4817"/>
    <w:rsid w:val="2A387681"/>
    <w:rsid w:val="2AFF12E5"/>
    <w:rsid w:val="2B1E29F3"/>
    <w:rsid w:val="2B4C1AA4"/>
    <w:rsid w:val="2BF63F96"/>
    <w:rsid w:val="2C0F1435"/>
    <w:rsid w:val="2CEE7679"/>
    <w:rsid w:val="2D66233D"/>
    <w:rsid w:val="2DFB1B61"/>
    <w:rsid w:val="2EB93E99"/>
    <w:rsid w:val="2F2C280F"/>
    <w:rsid w:val="2FA364DC"/>
    <w:rsid w:val="2FC44A85"/>
    <w:rsid w:val="309E2B7B"/>
    <w:rsid w:val="30EB74F0"/>
    <w:rsid w:val="32035BEF"/>
    <w:rsid w:val="342A47CB"/>
    <w:rsid w:val="35F511C8"/>
    <w:rsid w:val="385E12D4"/>
    <w:rsid w:val="38652931"/>
    <w:rsid w:val="38C71216"/>
    <w:rsid w:val="39465E85"/>
    <w:rsid w:val="398A68BF"/>
    <w:rsid w:val="39BA6812"/>
    <w:rsid w:val="3C48480D"/>
    <w:rsid w:val="3D991572"/>
    <w:rsid w:val="3DB51EC2"/>
    <w:rsid w:val="3E727886"/>
    <w:rsid w:val="3EBA29C3"/>
    <w:rsid w:val="41455D92"/>
    <w:rsid w:val="415036AE"/>
    <w:rsid w:val="41C04EBB"/>
    <w:rsid w:val="425809F2"/>
    <w:rsid w:val="439B7466"/>
    <w:rsid w:val="442973D1"/>
    <w:rsid w:val="46C51983"/>
    <w:rsid w:val="48556641"/>
    <w:rsid w:val="48CA1833"/>
    <w:rsid w:val="48F205C5"/>
    <w:rsid w:val="4A90772A"/>
    <w:rsid w:val="4BD33B77"/>
    <w:rsid w:val="4C8B3633"/>
    <w:rsid w:val="4DAB1EE9"/>
    <w:rsid w:val="4DE40CEB"/>
    <w:rsid w:val="4EA476EE"/>
    <w:rsid w:val="4EC264DD"/>
    <w:rsid w:val="50040765"/>
    <w:rsid w:val="51A80A06"/>
    <w:rsid w:val="52F83A41"/>
    <w:rsid w:val="53457C0A"/>
    <w:rsid w:val="5550021E"/>
    <w:rsid w:val="57D26381"/>
    <w:rsid w:val="58385ED5"/>
    <w:rsid w:val="5B741B28"/>
    <w:rsid w:val="5C2C0FBF"/>
    <w:rsid w:val="5CAA0438"/>
    <w:rsid w:val="601D7EC6"/>
    <w:rsid w:val="60B95EF0"/>
    <w:rsid w:val="645B2968"/>
    <w:rsid w:val="64D4100D"/>
    <w:rsid w:val="65194B10"/>
    <w:rsid w:val="65520C61"/>
    <w:rsid w:val="65610E8C"/>
    <w:rsid w:val="68663D22"/>
    <w:rsid w:val="6A043230"/>
    <w:rsid w:val="6BC24287"/>
    <w:rsid w:val="6BFE21BC"/>
    <w:rsid w:val="6E3E43B7"/>
    <w:rsid w:val="6E9B5A89"/>
    <w:rsid w:val="6EC91D15"/>
    <w:rsid w:val="70E8087E"/>
    <w:rsid w:val="70FF60CB"/>
    <w:rsid w:val="71B12147"/>
    <w:rsid w:val="73930C1B"/>
    <w:rsid w:val="74221E47"/>
    <w:rsid w:val="74233DF9"/>
    <w:rsid w:val="74B60212"/>
    <w:rsid w:val="76920F47"/>
    <w:rsid w:val="76C80904"/>
    <w:rsid w:val="77436C2E"/>
    <w:rsid w:val="78D43F0D"/>
    <w:rsid w:val="795A3CF0"/>
    <w:rsid w:val="79755A9A"/>
    <w:rsid w:val="79DB3BBE"/>
    <w:rsid w:val="79E323BF"/>
    <w:rsid w:val="7B355764"/>
    <w:rsid w:val="7CC71452"/>
    <w:rsid w:val="7CE412F1"/>
    <w:rsid w:val="7D5D6C6A"/>
    <w:rsid w:val="7E4170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3"/>
    <w:basedOn w:val="1"/>
    <w:next w:val="1"/>
    <w:unhideWhenUsed/>
    <w:qFormat/>
    <w:uiPriority w:val="0"/>
    <w:pPr>
      <w:spacing w:before="100" w:beforeAutospacing="1" w:after="100" w:afterAutospacing="1"/>
      <w:jc w:val="left"/>
      <w:outlineLvl w:val="2"/>
    </w:pPr>
    <w:rPr>
      <w:rFonts w:hint="eastAsia" w:ascii="宋体" w:hAnsi="宋体" w:eastAsia="宋体" w:cs="宋体"/>
      <w:b/>
      <w:bCs/>
      <w:kern w:val="0"/>
      <w:sz w:val="27"/>
      <w:szCs w:val="27"/>
      <w:lang w:val="en-US" w:eastAsia="zh-CN" w:bidi="ar"/>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_Style 2"/>
    <w:basedOn w:val="1"/>
    <w:qFormat/>
    <w:uiPriority w:val="0"/>
    <w:pPr>
      <w:spacing w:line="351" w:lineRule="atLeast"/>
      <w:ind w:firstLine="623"/>
      <w:textAlignment w:val="baseline"/>
    </w:pPr>
    <w:rPr>
      <w:rFonts w:ascii="Times New Roman" w:hAnsi="Times New Roman" w:eastAsia="仿宋_GB2312"/>
      <w:color w:val="000000"/>
      <w:sz w:val="31"/>
      <w:szCs w:val="31"/>
    </w:rPr>
  </w:style>
  <w:style w:type="paragraph" w:styleId="4">
    <w:name w:val="Body Text"/>
    <w:basedOn w:val="1"/>
    <w:qFormat/>
    <w:uiPriority w:val="0"/>
    <w:pPr>
      <w:spacing w:after="12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character" w:styleId="10">
    <w:name w:val="Hyperlink"/>
    <w:basedOn w:val="9"/>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3582</Words>
  <Characters>3625</Characters>
  <Lines>0</Lines>
  <Paragraphs>0</Paragraphs>
  <TotalTime>0</TotalTime>
  <ScaleCrop>false</ScaleCrop>
  <LinksUpToDate>false</LinksUpToDate>
  <CharactersWithSpaces>3726</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2021-12-12T05:44:00Z</dcterms:created>
  <dc:creator>Administrator</dc:creator>
  <cp:lastModifiedBy>馒头馊了</cp:lastModifiedBy>
  <cp:lastPrinted>2023-03-11T03:45:00Z</cp:lastPrinted>
  <dcterms:modified xsi:type="dcterms:W3CDTF">2024-08-16T01:36:48Z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C84C569063E446CA92E07F1FF461428D_13</vt:lpwstr>
  </property>
</Properties>
</file>